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rPr>
        <w:t>丰2022-14</w:t>
      </w:r>
      <w:r>
        <w:rPr>
          <w:rFonts w:ascii="Times New Roman" w:eastAsia="方正小标宋简体"/>
          <w:bCs/>
          <w:color w:val="auto"/>
          <w:sz w:val="44"/>
          <w:szCs w:val="44"/>
        </w:rPr>
        <w:t>号等</w:t>
      </w:r>
      <w:r>
        <w:rPr>
          <w:rFonts w:hint="eastAsia" w:ascii="Times New Roman" w:eastAsia="方正小标宋简体"/>
          <w:bCs/>
          <w:color w:val="auto"/>
          <w:sz w:val="44"/>
          <w:szCs w:val="44"/>
        </w:rPr>
        <w:t>4</w:t>
      </w:r>
      <w:r>
        <w:rPr>
          <w:rFonts w:ascii="Times New Roman" w:eastAsia="方正小标宋简体"/>
          <w:bCs/>
          <w:color w:val="auto"/>
          <w:sz w:val="44"/>
          <w:szCs w:val="44"/>
        </w:rPr>
        <w:t>宗地块国有建设用地使用权拍卖出让须知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ascii="Times New Roman" w:eastAsia="仿宋"/>
          <w:color w:val="auto"/>
          <w:szCs w:val="32"/>
        </w:rPr>
      </w:pPr>
      <w:r>
        <w:rPr>
          <w:rFonts w:ascii="Times New Roman" w:eastAsia="仿宋"/>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eastAsia="仿宋"/>
          <w:color w:val="auto"/>
          <w:szCs w:val="32"/>
        </w:rPr>
        <w:t>丰2022-14</w:t>
      </w:r>
      <w:r>
        <w:rPr>
          <w:rFonts w:ascii="Times New Roman" w:eastAsia="仿宋"/>
          <w:color w:val="auto"/>
          <w:szCs w:val="32"/>
        </w:rPr>
        <w:t>号等</w:t>
      </w:r>
      <w:r>
        <w:rPr>
          <w:rFonts w:hint="eastAsia" w:ascii="Times New Roman" w:eastAsia="仿宋"/>
          <w:color w:val="auto"/>
          <w:szCs w:val="32"/>
        </w:rPr>
        <w:t>4</w:t>
      </w:r>
      <w:r>
        <w:rPr>
          <w:rFonts w:ascii="Times New Roman" w:eastAsia="仿宋"/>
          <w:color w:val="auto"/>
          <w:szCs w:val="32"/>
        </w:rPr>
        <w:t>宗地块国有建设用地使用权。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者的确认。拍卖出让过程委托公证机构进行公证。泉州市产权交易中心有限公司指定的从事拍卖活动的人员为拍卖工作人员。</w:t>
      </w:r>
    </w:p>
    <w:p>
      <w:pPr>
        <w:spacing w:line="520" w:lineRule="exact"/>
        <w:ind w:firstLine="640" w:firstLineChars="200"/>
        <w:rPr>
          <w:rFonts w:ascii="Times New Roman" w:eastAsia="仿宋"/>
          <w:color w:val="auto"/>
          <w:szCs w:val="32"/>
        </w:rPr>
      </w:pPr>
      <w:r>
        <w:rPr>
          <w:rFonts w:ascii="Times New Roman" w:eastAsia="仿宋"/>
          <w:color w:val="auto"/>
          <w:szCs w:val="32"/>
        </w:rPr>
        <w:t>二、拍卖出让活动时间、地点</w:t>
      </w:r>
    </w:p>
    <w:p>
      <w:pPr>
        <w:spacing w:line="520" w:lineRule="exact"/>
        <w:ind w:firstLine="640" w:firstLineChars="200"/>
        <w:rPr>
          <w:rFonts w:ascii="Times New Roman" w:eastAsia="仿宋"/>
          <w:color w:val="auto"/>
          <w:szCs w:val="32"/>
        </w:rPr>
      </w:pPr>
      <w:r>
        <w:rPr>
          <w:rFonts w:ascii="Times New Roman" w:eastAsia="仿宋"/>
          <w:color w:val="auto"/>
          <w:szCs w:val="32"/>
        </w:rPr>
        <w:t>拍卖时间：202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19</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szCs w:val="32"/>
        </w:rPr>
        <w:t>：00。</w:t>
      </w:r>
    </w:p>
    <w:p>
      <w:pPr>
        <w:spacing w:line="520" w:lineRule="exact"/>
        <w:ind w:firstLine="640" w:firstLineChars="200"/>
        <w:rPr>
          <w:rFonts w:ascii="Times New Roman" w:eastAsia="仿宋"/>
          <w:color w:val="auto"/>
          <w:szCs w:val="32"/>
        </w:rPr>
      </w:pPr>
      <w:r>
        <w:rPr>
          <w:rFonts w:ascii="Times New Roman" w:eastAsia="仿宋"/>
          <w:color w:val="auto"/>
          <w:szCs w:val="32"/>
        </w:rPr>
        <w:t>拍卖地点：泉州市政务服务中心（东海大厦）A幢442室（地址：泉州市丰泽区海星街100号）。</w:t>
      </w:r>
    </w:p>
    <w:p>
      <w:pPr>
        <w:numPr>
          <w:ilvl w:val="0"/>
          <w:numId w:val="1"/>
        </w:numPr>
        <w:spacing w:line="520" w:lineRule="exact"/>
        <w:ind w:firstLine="640" w:firstLineChars="200"/>
        <w:rPr>
          <w:rFonts w:ascii="Times New Roman" w:eastAsia="仿宋"/>
          <w:color w:val="auto"/>
          <w:szCs w:val="32"/>
        </w:rPr>
      </w:pPr>
      <w:r>
        <w:rPr>
          <w:rFonts w:ascii="Times New Roman" w:eastAsia="仿宋"/>
          <w:color w:val="auto"/>
          <w:szCs w:val="32"/>
        </w:rPr>
        <w:t>本次国有建设用地使用权采用“限房价、限地价、摇号”方式拍卖出让，按照价高者得的原则确定竞得人，不设保留价；当拍卖溢价率达到15%时</w:t>
      </w:r>
      <w:r>
        <w:rPr>
          <w:rFonts w:hint="eastAsia" w:ascii="Times New Roman" w:eastAsia="仿宋"/>
          <w:color w:val="auto"/>
          <w:szCs w:val="32"/>
        </w:rPr>
        <w:t>（即丰2022-14号地块总价18860万元，平均楼面地价2201.2元/平方米；丰2022-15号地块总价12075万元，平均楼面地价2454.5元/平方米；丰2022-24号地块总价154215万元，平均楼面地价13554.7元/平方米；丰2022-47号地块总价36110万元，平均楼面地价4277.3元/平方米）</w:t>
      </w:r>
      <w:r>
        <w:rPr>
          <w:rFonts w:ascii="Times New Roman" w:eastAsia="仿宋"/>
          <w:color w:val="auto"/>
          <w:szCs w:val="32"/>
        </w:rPr>
        <w:t>，采取熔断机制，不再接受更高报价，对于有意向的多个竞买人，当即现场采取摇号方式确定竞得人。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四、出让地块的基本情况、规划指标和相关要求：</w:t>
      </w:r>
    </w:p>
    <w:p>
      <w:pPr>
        <w:spacing w:line="520" w:lineRule="exact"/>
        <w:ind w:firstLine="640" w:firstLineChars="200"/>
        <w:rPr>
          <w:rFonts w:ascii="Times New Roman" w:eastAsia="仿宋"/>
          <w:color w:val="auto"/>
          <w:szCs w:val="32"/>
        </w:rPr>
      </w:pPr>
      <w:r>
        <w:rPr>
          <w:rFonts w:ascii="Times New Roman" w:eastAsia="仿宋"/>
          <w:color w:val="auto"/>
          <w:szCs w:val="32"/>
        </w:rPr>
        <w:t>（一）地块的基本情况</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1.丰2022-14号地块。该宗地即2020-4号储备用地，位于丰泽区北峰街道，西华大街南侧、丰美路西侧、霞美街北侧、支经三路东侧，土地面积28560.38平方米（约合42.84亩）。规划用途为二类居住用地。主要技术指标为：容积率3.0以下1.0以上，建筑密度20%以下，绿地率35%以上，建筑高度80米以下。建设内容为住宅以及幼儿园等公共配套设施。</w:t>
      </w:r>
    </w:p>
    <w:p>
      <w:pPr>
        <w:spacing w:line="520" w:lineRule="exact"/>
        <w:ind w:firstLine="640" w:firstLineChars="200"/>
        <w:rPr>
          <w:rFonts w:ascii="Times New Roman" w:eastAsia="仿宋"/>
          <w:color w:val="auto"/>
          <w:szCs w:val="32"/>
        </w:rPr>
      </w:pPr>
      <w:r>
        <w:rPr>
          <w:rFonts w:ascii="Times New Roman" w:eastAsia="仿宋"/>
          <w:color w:val="auto"/>
          <w:szCs w:val="32"/>
        </w:rPr>
        <w:t xml:space="preserve">2. </w:t>
      </w:r>
      <w:r>
        <w:rPr>
          <w:rFonts w:hint="eastAsia" w:ascii="Times New Roman" w:eastAsia="仿宋"/>
          <w:color w:val="auto"/>
          <w:szCs w:val="32"/>
        </w:rPr>
        <w:t>丰2022-15号地块。该宗地即2020-6号储备用地，位于丰泽区北峰街道，西华大街南侧、招联大道东侧、支经三路西侧，土地面积16398.42平方米（约合24.6亩）。规划用途为二类居住用地。主要技术指标为：容积率3.0以下1.0以上，建筑密度20%以下，绿地率35%以上，建筑高度80米以下。建设内容为住宅以及公共配套设施。</w:t>
      </w:r>
    </w:p>
    <w:p>
      <w:pPr>
        <w:spacing w:line="520" w:lineRule="exact"/>
        <w:ind w:firstLine="640" w:firstLineChars="200"/>
        <w:rPr>
          <w:rFonts w:ascii="Times New Roman" w:eastAsia="仿宋"/>
          <w:color w:val="auto"/>
          <w:szCs w:val="32"/>
        </w:rPr>
      </w:pPr>
      <w:r>
        <w:rPr>
          <w:rFonts w:ascii="Times New Roman" w:eastAsia="仿宋"/>
          <w:color w:val="auto"/>
          <w:szCs w:val="32"/>
        </w:rPr>
        <w:t xml:space="preserve">3. </w:t>
      </w:r>
      <w:r>
        <w:rPr>
          <w:rFonts w:hint="eastAsia" w:ascii="Times New Roman" w:eastAsia="仿宋"/>
          <w:color w:val="auto"/>
          <w:szCs w:val="32"/>
        </w:rPr>
        <w:t>丰2022-24号地块。该宗地即2021-19号储备用地，位于丰泽区南埔山片区，南临海韵街、东南至毓才街、北至宫口路、西临规划61号路，土地面积87517.1平方米（约合131.3亩）。规划用途为城镇住宅用地。主要技术指标为：容积率1.3以下1.0以上，建筑密度30%以下，绿地率30%以上，建筑高度20米以下。建设内容为住宅及商业等配套设施。其中，商业计容建筑面积为3000平方米（误差不超过±100平方米）。</w:t>
      </w:r>
    </w:p>
    <w:p>
      <w:pPr>
        <w:spacing w:line="520" w:lineRule="exact"/>
        <w:ind w:firstLine="640" w:firstLineChars="200"/>
        <w:rPr>
          <w:rFonts w:ascii="Times New Roman" w:eastAsia="仿宋"/>
          <w:color w:val="auto"/>
          <w:szCs w:val="32"/>
        </w:rPr>
      </w:pPr>
      <w:r>
        <w:rPr>
          <w:rFonts w:ascii="Times New Roman" w:eastAsia="仿宋"/>
          <w:color w:val="auto"/>
          <w:szCs w:val="32"/>
        </w:rPr>
        <w:t xml:space="preserve">4. </w:t>
      </w:r>
      <w:r>
        <w:rPr>
          <w:rFonts w:hint="eastAsia" w:ascii="Times New Roman" w:eastAsia="仿宋"/>
          <w:color w:val="auto"/>
          <w:szCs w:val="32"/>
        </w:rPr>
        <w:t>丰2022-47号地块。该宗地即2019-21号储备用地，位于福厦高速西北侧、城东至北峰快速通道东北侧、规划52号路西侧，土地面积33768.9平方米（约合50.7亩）。规划用途为城镇住宅用地。主要技术指标为：容积率2.5以下1.0以上，建筑密度20%以下，绿地率30%以上，建筑高度80米以下。建设内容为住宅及商业等配套设施，其中商业设施计容建筑面积2000平方米（误差不超过±100平方米）。</w:t>
      </w:r>
    </w:p>
    <w:p>
      <w:pPr>
        <w:widowControl/>
        <w:spacing w:line="520" w:lineRule="exact"/>
        <w:ind w:firstLine="600"/>
        <w:rPr>
          <w:rFonts w:ascii="Times New Roman" w:eastAsia="仿宋"/>
          <w:color w:val="auto"/>
          <w:szCs w:val="32"/>
        </w:rPr>
      </w:pPr>
      <w:r>
        <w:rPr>
          <w:rFonts w:ascii="Times New Roman" w:eastAsia="仿宋"/>
          <w:color w:val="auto"/>
          <w:szCs w:val="32"/>
        </w:rPr>
        <w:t>（二）规划指标和相关要求</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1.上述地块竞买申请人须具有房地产开发资质。</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2.丰2022-14号地块竞得人须按有关规范要求配套建设相应的公共配套服务设施，包括：社区医疗服务站、居家养老服务站、幼儿园等设施[具体规划要求详见《泉州市自然资源和规划局关于下达2020-4号储备用地规划条件的通知》（泉资规〔2022〕191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3.丰2022-15号地块竞得人须按有关规范要求配套建设相应的公共配套服务设施，包括：社区管理服务用房、社区医疗服务站、居家养老服务站等设施[具体规划要求详见《泉州市自然资源和规划局关于下达2020-6号储备用地规划条件的通知》（泉资规〔2022〕192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4.丰2022-24号地块竞得人须按有关规范要求配套建设相应的公共配套服务设施，包括：社区管理服务用房、社区医疗服务站、居家养老服务站等设施[具体规划要求详见《泉州市自然资源和规划局关于下达2021-19号储备用地规划条件的通知》（泉资规〔2022〕178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5.丰2022-47号地块竞得人须按有关规范要求配套建设相应的公共配套服务设施，包括：社区管理服务用房、社区医疗服务站、居家养老服务站等设施[具体规划要求详见《泉州市自然资源和规划局关于下达2019-21号储备用地规划条件的通知》（泉资规〔2022〕190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6.丰2022-14号地块配建幼儿园装修标准按室内不低于每平方米1600元、室外不低于每平方米1100元标准进行建设，且具体装修方案应与丰泽区教育局协商一致，经验收合格后再移交丰泽区教育局。</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7.丰2022-14号、丰2022-15号地块竞得人应在与</w:t>
      </w:r>
      <w:r>
        <w:rPr>
          <w:rFonts w:hint="eastAsia" w:ascii="Times New Roman" w:eastAsia="仿宋"/>
          <w:color w:val="auto"/>
          <w:szCs w:val="32"/>
          <w:lang w:eastAsia="zh-CN"/>
        </w:rPr>
        <w:t>我局</w:t>
      </w:r>
      <w:r>
        <w:rPr>
          <w:rFonts w:hint="eastAsia" w:ascii="Times New Roman" w:eastAsia="仿宋"/>
          <w:color w:val="auto"/>
          <w:szCs w:val="32"/>
        </w:rPr>
        <w:t>签订《国有建设用地使用权出让合同》之日起5个工作日内，与泉州市住宅建设开发有限公司签订相应地块安置型商品房回购协议。住宅面积全部回购，回购价格为5820元/平方米，地下停车位回购价格按标准位15万元/位。</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8.丰2022-47号地块竞得人应在与</w:t>
      </w:r>
      <w:r>
        <w:rPr>
          <w:rFonts w:hint="eastAsia" w:ascii="Times New Roman" w:eastAsia="仿宋"/>
          <w:color w:val="auto"/>
          <w:szCs w:val="32"/>
          <w:lang w:eastAsia="zh-CN"/>
        </w:rPr>
        <w:t>我局</w:t>
      </w:r>
      <w:r>
        <w:rPr>
          <w:rFonts w:hint="eastAsia" w:ascii="Times New Roman" w:eastAsia="仿宋"/>
          <w:color w:val="auto"/>
          <w:szCs w:val="32"/>
        </w:rPr>
        <w:t>签订《国有建设用地使用权出让合同》之日起5个工作日内，与泉州市住宅建设开发有限公司签订该地块安置型商品房回购协议。回购约42500平方米住宅面积进行安置，回购价格为住宅7699元/平方米，商业部分和车位不回购。</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9.丰2022-47号地块须集中配建建筑面积不低于1.7万平方米独立成栋、精装修（精装修标准不低于2000元/平方米）的保障性租赁住房。采用装配式装修，户型面积以45平方米（含）以内的一户型为主，适当配建45-70平方米（含）二房型和90平方米（含）以内的三房型。该建设工程的建设工期、项目监管、验收交付等相关要求按照该地块安置型商品房回购协议对应条款执行。建成后产权无偿移交市住建局下属事业单位泉州市住房保障服务中心管理运营。</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10.丰2022-24号、丰2022-47号地块，竞得人应建设集中商业，并进行整体经营，不可分割销售、不可分割转让。</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11.丰2022-14号、丰2022-15号、丰2022-24号、丰2022-47号地块由非泉州市丰泽区的法人竞得的，须在泉州市丰泽区注册成立新公司，所有税收应在当地缴纳。</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12.丰2022-24号、丰2022-47号地块竞买人应在竞买申请书中承诺，如竞得地块，在项目建设达到预售条件时，同意该项目商品房的预售价格受政府调控。其中丰2022-24号地块商品住宅部分最高销售均价为24998元/平方米（毛坯）；丰2022-47号地块商品住宅部分最高销售均价为22588元/平方米（毛坯）。</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13.丰2022-24号、丰2022-47号地块的可销售房源应全部按程序办理预售手续并向社会公开销售。严禁采取“以房抵债”、股东或特定全体垄断房源、办理自有产权等方式逃避公开销售，否则住建部门不予办理合同网签备案，产权登记部门不予办理产权。</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14.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15.按照《泉州市住房和城乡建设局等三部门关于加快推动新型建筑工业化发展的通知》（泉建规〔2022〕3号）要求，上述地块的装配式建筑应占新建建筑面积30%以上。</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16.按照《泉州市人民政府关于印发泉州市促进房地产市场持续健康稳定发展若干意见（2018—2025年）的通知》（泉政文〔2018〕87号）要求，上述地块的建筑单体质量要求达到泉州市优质工程及以上。</w:t>
      </w:r>
    </w:p>
    <w:p>
      <w:pPr>
        <w:widowControl/>
        <w:spacing w:line="520" w:lineRule="exact"/>
        <w:ind w:firstLine="640" w:firstLineChars="200"/>
        <w:rPr>
          <w:rFonts w:ascii="Times New Roman" w:eastAsia="仿宋"/>
          <w:color w:val="auto"/>
          <w:szCs w:val="32"/>
        </w:rPr>
      </w:pPr>
      <w:r>
        <w:rPr>
          <w:rFonts w:hint="eastAsia" w:ascii="Times New Roman" w:eastAsia="仿宋"/>
          <w:color w:val="auto"/>
          <w:szCs w:val="32"/>
        </w:rPr>
        <w:t>17.按照《泉州市人民政府办公室转发泉州市住房和城乡建设局泉州市自然资源和规划局关于加强新建商品住宅及商办类建筑建设管理的通知》（泉政办明传〔2021〕75号）要求，上述地块开发建设应符合《新建商品住宅建设品质提升事项》要求。</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五、竞买人资格</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对于出现同一企业及其控股的各个公司报名参与同一宗地竞买，该类竞买人的竞买资格将按照各竞买人提交完整报名材料的先后顺序确定。经审查，最先提交完整报名材料（按规定交纳竞买保证金且符合申请条件）的竞买人享有竞买资格；同时递交完整报名材料且确定符合申请条件的，以保证金交纳时间在前的确定享有竞买资格。最终确定享有竞买资格的竞买人将发给《竞买资格确认书》，确认书一经发出，其余竞买人均不享有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交纳竞买保证金的截止时间为202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17</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丰2022-14号</w:t>
      </w:r>
      <w:r>
        <w:rPr>
          <w:rFonts w:ascii="Times New Roman" w:eastAsia="仿宋"/>
          <w:color w:val="auto"/>
          <w:szCs w:val="32"/>
        </w:rPr>
        <w:t>地块的竞买保证金为人民币（大写）</w:t>
      </w:r>
      <w:r>
        <w:rPr>
          <w:rFonts w:hint="eastAsia" w:ascii="Times New Roman" w:eastAsia="仿宋"/>
          <w:color w:val="auto"/>
          <w:szCs w:val="32"/>
        </w:rPr>
        <w:t>叁仟叁佰万</w:t>
      </w:r>
      <w:r>
        <w:rPr>
          <w:rFonts w:ascii="Times New Roman" w:eastAsia="仿宋"/>
          <w:color w:val="auto"/>
          <w:szCs w:val="32"/>
        </w:rPr>
        <w:t>元整（￥</w:t>
      </w:r>
      <w:r>
        <w:rPr>
          <w:rFonts w:hint="eastAsia" w:ascii="Times New Roman" w:eastAsia="仿宋"/>
          <w:color w:val="auto"/>
          <w:szCs w:val="32"/>
        </w:rPr>
        <w:t>33</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丰2022-15号</w:t>
      </w:r>
      <w:r>
        <w:rPr>
          <w:rFonts w:ascii="Times New Roman" w:eastAsia="仿宋"/>
          <w:color w:val="auto"/>
          <w:szCs w:val="32"/>
        </w:rPr>
        <w:t>地块的竞买保证金为人民币（大写）</w:t>
      </w:r>
      <w:r>
        <w:rPr>
          <w:rFonts w:hint="eastAsia" w:ascii="Times New Roman" w:eastAsia="仿宋"/>
          <w:color w:val="auto"/>
          <w:szCs w:val="32"/>
        </w:rPr>
        <w:t>贰仟壹佰万</w:t>
      </w:r>
      <w:r>
        <w:rPr>
          <w:rFonts w:ascii="Times New Roman" w:eastAsia="仿宋"/>
          <w:color w:val="auto"/>
          <w:szCs w:val="32"/>
        </w:rPr>
        <w:t>元整（￥</w:t>
      </w:r>
      <w:r>
        <w:rPr>
          <w:rFonts w:hint="eastAsia" w:ascii="Times New Roman" w:eastAsia="仿宋"/>
          <w:color w:val="auto"/>
          <w:szCs w:val="32"/>
        </w:rPr>
        <w:t>21</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丰2022-24号</w:t>
      </w:r>
      <w:r>
        <w:rPr>
          <w:rFonts w:ascii="Times New Roman" w:eastAsia="仿宋"/>
          <w:color w:val="auto"/>
          <w:szCs w:val="32"/>
        </w:rPr>
        <w:t>地块的竞买保证金为人民币（大写）</w:t>
      </w:r>
      <w:r>
        <w:rPr>
          <w:rFonts w:hint="eastAsia" w:ascii="Times New Roman" w:eastAsia="仿宋"/>
          <w:color w:val="auto"/>
          <w:szCs w:val="32"/>
        </w:rPr>
        <w:t>贰亿柒仟万</w:t>
      </w:r>
      <w:r>
        <w:rPr>
          <w:rFonts w:ascii="Times New Roman" w:eastAsia="仿宋"/>
          <w:color w:val="auto"/>
          <w:szCs w:val="32"/>
        </w:rPr>
        <w:t>元整（￥</w:t>
      </w:r>
      <w:r>
        <w:rPr>
          <w:rFonts w:hint="eastAsia" w:ascii="Times New Roman" w:eastAsia="仿宋"/>
          <w:color w:val="auto"/>
          <w:szCs w:val="32"/>
        </w:rPr>
        <w:t>270</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丰2022-47号</w:t>
      </w:r>
      <w:r>
        <w:rPr>
          <w:rFonts w:ascii="Times New Roman" w:eastAsia="仿宋"/>
          <w:color w:val="auto"/>
          <w:szCs w:val="32"/>
        </w:rPr>
        <w:t>地块的竞买保证金为人民币（大写）</w:t>
      </w:r>
      <w:r>
        <w:rPr>
          <w:rFonts w:hint="eastAsia" w:ascii="Times New Roman" w:eastAsia="仿宋"/>
          <w:color w:val="auto"/>
          <w:szCs w:val="32"/>
        </w:rPr>
        <w:t>壹亿贰仟陆佰万</w:t>
      </w:r>
      <w:r>
        <w:rPr>
          <w:rFonts w:ascii="Times New Roman" w:eastAsia="仿宋"/>
          <w:color w:val="auto"/>
          <w:szCs w:val="32"/>
        </w:rPr>
        <w:t>元整（￥</w:t>
      </w:r>
      <w:r>
        <w:rPr>
          <w:rFonts w:hint="eastAsia" w:ascii="Times New Roman" w:eastAsia="仿宋"/>
          <w:color w:val="auto"/>
          <w:szCs w:val="32"/>
        </w:rPr>
        <w:t>126</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ascii="Times New Roman" w:eastAsia="仿宋"/>
          <w:color w:val="auto"/>
          <w:szCs w:val="32"/>
        </w:rPr>
        <w:t>六、申请和资格审查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spacing w:line="520" w:lineRule="exact"/>
        <w:ind w:firstLine="640" w:firstLineChars="200"/>
        <w:rPr>
          <w:rFonts w:ascii="Times New Roman" w:eastAsia="仿宋"/>
          <w:color w:val="auto"/>
          <w:szCs w:val="32"/>
        </w:rPr>
      </w:pPr>
      <w:r>
        <w:rPr>
          <w:rFonts w:ascii="Times New Roman" w:eastAsia="仿宋"/>
          <w:color w:val="auto"/>
          <w:szCs w:val="32"/>
        </w:rPr>
        <w:t>竞买人可于202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4</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17</w:t>
      </w:r>
      <w:r>
        <w:rPr>
          <w:rFonts w:ascii="Times New Roman" w:eastAsia="仿宋"/>
          <w:color w:val="auto"/>
          <w:szCs w:val="32"/>
        </w:rPr>
        <w:t>日，到泉州市丰泽区海星街100号东海大厦A幢市政务服务中心4楼450室购买索取本次拍卖出让文件，具体包括：</w:t>
      </w:r>
    </w:p>
    <w:p>
      <w:pPr>
        <w:spacing w:line="520" w:lineRule="exact"/>
        <w:ind w:firstLine="640" w:firstLineChars="200"/>
        <w:rPr>
          <w:rFonts w:ascii="Times New Roman" w:eastAsia="仿宋"/>
          <w:color w:val="auto"/>
          <w:szCs w:val="32"/>
        </w:rPr>
      </w:pPr>
      <w:r>
        <w:rPr>
          <w:rFonts w:ascii="Times New Roman" w:eastAsia="仿宋"/>
          <w:color w:val="auto"/>
          <w:szCs w:val="32"/>
        </w:rPr>
        <w:t>1．国有建设用地使用权出让公告(泉自然资告字〔202</w:t>
      </w:r>
      <w:r>
        <w:rPr>
          <w:rFonts w:hint="eastAsia" w:ascii="Times New Roman" w:eastAsia="仿宋"/>
          <w:color w:val="auto"/>
          <w:szCs w:val="32"/>
        </w:rPr>
        <w:t>3</w:t>
      </w:r>
      <w:r>
        <w:rPr>
          <w:rFonts w:ascii="Times New Roman" w:eastAsia="仿宋"/>
          <w:color w:val="auto"/>
          <w:szCs w:val="32"/>
        </w:rPr>
        <w:t>〕</w:t>
      </w:r>
      <w:r>
        <w:rPr>
          <w:rFonts w:hint="eastAsia" w:ascii="Times New Roman" w:eastAsia="仿宋"/>
          <w:color w:val="auto"/>
          <w:szCs w:val="32"/>
        </w:rPr>
        <w:t>3</w:t>
      </w:r>
      <w:r>
        <w:rPr>
          <w:rFonts w:ascii="Times New Roman" w:eastAsia="仿宋"/>
          <w:color w:val="auto"/>
          <w:szCs w:val="32"/>
        </w:rPr>
        <w:t>号)</w:t>
      </w:r>
    </w:p>
    <w:p>
      <w:pPr>
        <w:spacing w:line="520" w:lineRule="exact"/>
        <w:ind w:firstLine="640" w:firstLineChars="200"/>
        <w:rPr>
          <w:rFonts w:ascii="Times New Roman" w:eastAsia="仿宋"/>
          <w:color w:val="auto"/>
          <w:szCs w:val="32"/>
        </w:rPr>
      </w:pPr>
      <w:r>
        <w:rPr>
          <w:rFonts w:ascii="Times New Roman" w:eastAsia="仿宋"/>
          <w:color w:val="auto"/>
          <w:szCs w:val="32"/>
        </w:rPr>
        <w:t>2．泉州市国有建设用地使用权拍卖出让须知</w:t>
      </w:r>
    </w:p>
    <w:p>
      <w:pPr>
        <w:spacing w:line="520" w:lineRule="exact"/>
        <w:ind w:firstLine="640" w:firstLineChars="200"/>
        <w:rPr>
          <w:rFonts w:ascii="Times New Roman" w:eastAsia="仿宋"/>
          <w:color w:val="auto"/>
          <w:szCs w:val="32"/>
        </w:rPr>
      </w:pPr>
      <w:r>
        <w:rPr>
          <w:rFonts w:ascii="Times New Roman" w:eastAsia="仿宋"/>
          <w:color w:val="auto"/>
          <w:szCs w:val="32"/>
        </w:rPr>
        <w:t>3．泉州市自然资源和规划局规划设计条件文件（复印件）</w:t>
      </w:r>
    </w:p>
    <w:p>
      <w:pPr>
        <w:spacing w:line="520" w:lineRule="exact"/>
        <w:ind w:firstLine="640" w:firstLineChars="200"/>
        <w:rPr>
          <w:rFonts w:ascii="Times New Roman" w:eastAsia="仿宋"/>
          <w:color w:val="auto"/>
          <w:szCs w:val="32"/>
        </w:rPr>
      </w:pPr>
      <w:r>
        <w:rPr>
          <w:rFonts w:ascii="Times New Roman" w:eastAsia="仿宋"/>
          <w:color w:val="auto"/>
          <w:szCs w:val="32"/>
        </w:rPr>
        <w:t>4．竞买申请书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5．竞买承诺书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6．法定代表人身份证明书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7．授权委托书</w:t>
      </w:r>
    </w:p>
    <w:p>
      <w:pPr>
        <w:spacing w:line="520" w:lineRule="exact"/>
        <w:ind w:firstLine="640" w:firstLineChars="200"/>
        <w:rPr>
          <w:rFonts w:ascii="Times New Roman" w:eastAsia="仿宋"/>
          <w:color w:val="auto"/>
          <w:szCs w:val="32"/>
        </w:rPr>
      </w:pPr>
      <w:r>
        <w:rPr>
          <w:rFonts w:ascii="Times New Roman" w:eastAsia="仿宋"/>
          <w:color w:val="auto"/>
          <w:szCs w:val="32"/>
        </w:rPr>
        <w:t>8．竞买资格确认书（样本）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9．成交确认书（样本）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10．地块宗地图（复印件）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11．泉州市自然资源和规划局用地红线图（复印件）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12．《住宅用地竞买保证金/成交价款来源情况申报表》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13．各相关地块回购协议</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14</w:t>
      </w:r>
      <w:r>
        <w:rPr>
          <w:rFonts w:ascii="Times New Roman" w:eastAsia="仿宋"/>
          <w:color w:val="auto"/>
          <w:szCs w:val="32"/>
        </w:rPr>
        <w:t>．</w:t>
      </w:r>
      <w:r>
        <w:rPr>
          <w:rFonts w:hint="eastAsia" w:ascii="Times New Roman" w:eastAsia="仿宋"/>
          <w:color w:val="auto"/>
          <w:szCs w:val="32"/>
        </w:rPr>
        <w:t>装配式装修2000元/平方米标准对应内容清单</w:t>
      </w:r>
    </w:p>
    <w:p>
      <w:pPr>
        <w:spacing w:line="520" w:lineRule="exact"/>
        <w:ind w:firstLine="640" w:firstLineChars="200"/>
        <w:rPr>
          <w:rFonts w:ascii="Times New Roman" w:eastAsia="仿宋"/>
          <w:color w:val="auto"/>
          <w:szCs w:val="32"/>
        </w:rPr>
      </w:pPr>
      <w:r>
        <w:rPr>
          <w:rFonts w:ascii="Times New Roman" w:eastAsia="仿宋"/>
          <w:color w:val="auto"/>
          <w:szCs w:val="32"/>
        </w:rPr>
        <w:t>（二）提交申请</w:t>
      </w:r>
    </w:p>
    <w:p>
      <w:pPr>
        <w:spacing w:line="520" w:lineRule="exact"/>
        <w:ind w:firstLine="640" w:firstLineChars="200"/>
        <w:rPr>
          <w:rFonts w:ascii="Times New Roman" w:eastAsia="仿宋"/>
          <w:color w:val="auto"/>
          <w:szCs w:val="32"/>
        </w:rPr>
      </w:pPr>
      <w:r>
        <w:rPr>
          <w:rFonts w:ascii="Times New Roman" w:eastAsia="仿宋"/>
          <w:color w:val="auto"/>
          <w:szCs w:val="32"/>
        </w:rPr>
        <w:t>竞买人应于202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17</w:t>
      </w:r>
      <w:r>
        <w:rPr>
          <w:rFonts w:ascii="Times New Roman" w:eastAsia="仿宋"/>
          <w:color w:val="auto"/>
          <w:szCs w:val="32"/>
        </w:rPr>
        <w:t>日17时前，到泉州市丰泽区海星街100号东海大厦A幢市政务服务中心4楼450室提交书面申请（不接受邮寄、电子邮件及口头竞买报名），</w:t>
      </w:r>
      <w:r>
        <w:rPr>
          <w:rFonts w:ascii="Times New Roman" w:eastAsia="仿宋"/>
          <w:b/>
          <w:color w:val="auto"/>
          <w:szCs w:val="32"/>
        </w:rPr>
        <w:t>所有申请文件必须为正本一式二份。</w:t>
      </w:r>
      <w:r>
        <w:rPr>
          <w:rFonts w:ascii="Times New Roman" w:eastAsia="仿宋"/>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ascii="Times New Roman" w:eastAsia="仿宋"/>
          <w:color w:val="auto"/>
          <w:szCs w:val="32"/>
        </w:rPr>
      </w:pPr>
      <w:r>
        <w:rPr>
          <w:rFonts w:ascii="Times New Roman" w:eastAsia="仿宋"/>
          <w:color w:val="auto"/>
          <w:szCs w:val="32"/>
        </w:rPr>
        <w:t>（三）资格审查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spacing w:line="52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spacing w:line="52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spacing w:line="52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（四）确认竞买人资格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w:t>
      </w:r>
      <w:r>
        <w:rPr>
          <w:rFonts w:hint="eastAsia" w:ascii="Times New Roman" w:eastAsia="仿宋"/>
          <w:color w:val="auto"/>
          <w:szCs w:val="32"/>
        </w:rPr>
        <w:t>1</w:t>
      </w:r>
      <w:r>
        <w:rPr>
          <w:rFonts w:ascii="Times New Roman" w:eastAsia="仿宋"/>
          <w:color w:val="auto"/>
          <w:szCs w:val="32"/>
        </w:rPr>
        <w:t>日内确认其竞买资格，发给《竞买资格确认书》。</w:t>
      </w:r>
    </w:p>
    <w:p>
      <w:pPr>
        <w:spacing w:line="520" w:lineRule="exact"/>
        <w:ind w:firstLine="640" w:firstLineChars="200"/>
        <w:rPr>
          <w:rFonts w:ascii="Times New Roman" w:eastAsia="仿宋"/>
          <w:color w:val="auto"/>
          <w:szCs w:val="32"/>
        </w:rPr>
      </w:pPr>
      <w:r>
        <w:rPr>
          <w:rFonts w:ascii="Times New Roman" w:eastAsia="仿宋"/>
          <w:color w:val="auto"/>
          <w:szCs w:val="32"/>
        </w:rPr>
        <w:t>（五）答疑及现场踏勘</w:t>
      </w:r>
    </w:p>
    <w:p>
      <w:pPr>
        <w:spacing w:line="52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8</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9</w:t>
      </w:r>
      <w:r>
        <w:rPr>
          <w:rFonts w:ascii="Times New Roman" w:eastAsia="仿宋"/>
          <w:color w:val="auto"/>
          <w:szCs w:val="32"/>
        </w:rPr>
        <w:t>日组织竞买人对拟出让地块进行现场踏勘。需由我局派员陪同实地踏勘的，请提前与我局联系（联系电话：0595－22769392）。</w:t>
      </w:r>
    </w:p>
    <w:p>
      <w:pPr>
        <w:spacing w:line="520" w:lineRule="exact"/>
        <w:ind w:firstLine="640" w:firstLineChars="200"/>
        <w:rPr>
          <w:rFonts w:ascii="Times New Roman" w:eastAsia="仿宋"/>
          <w:color w:val="auto"/>
          <w:szCs w:val="32"/>
        </w:rPr>
      </w:pPr>
      <w:r>
        <w:rPr>
          <w:rFonts w:ascii="Times New Roman" w:eastAsia="仿宋"/>
          <w:color w:val="auto"/>
          <w:szCs w:val="32"/>
        </w:rPr>
        <w:t>七、宗地的拍卖起叫价和增价幅度</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丰2022-14</w:t>
      </w:r>
      <w:r>
        <w:rPr>
          <w:rFonts w:ascii="Times New Roman" w:eastAsia="仿宋"/>
          <w:color w:val="auto"/>
          <w:szCs w:val="32"/>
        </w:rPr>
        <w:t>号地块，起叫价为人民币（大写）</w:t>
      </w:r>
      <w:r>
        <w:rPr>
          <w:rFonts w:hint="eastAsia" w:ascii="Times New Roman" w:eastAsia="仿宋"/>
          <w:color w:val="auto"/>
          <w:szCs w:val="32"/>
        </w:rPr>
        <w:t>壹亿陆仟肆佰万</w:t>
      </w:r>
      <w:r>
        <w:rPr>
          <w:rFonts w:ascii="Times New Roman" w:eastAsia="仿宋"/>
          <w:color w:val="auto"/>
          <w:szCs w:val="32"/>
        </w:rPr>
        <w:t>元整（￥</w:t>
      </w:r>
      <w:r>
        <w:rPr>
          <w:rFonts w:hint="eastAsia" w:ascii="Times New Roman" w:eastAsia="仿宋"/>
          <w:color w:val="auto"/>
          <w:szCs w:val="32"/>
        </w:rPr>
        <w:t>164,00</w:t>
      </w:r>
      <w:r>
        <w:rPr>
          <w:rFonts w:ascii="Times New Roman" w:eastAsia="仿宋"/>
          <w:color w:val="auto"/>
          <w:szCs w:val="32"/>
        </w:rPr>
        <w:t>0,000.00），增价幅度为人民币（大写）</w:t>
      </w:r>
      <w:r>
        <w:rPr>
          <w:rFonts w:hint="eastAsia" w:ascii="Times New Roman" w:eastAsia="仿宋"/>
          <w:color w:val="auto"/>
          <w:szCs w:val="32"/>
        </w:rPr>
        <w:t>伍拾万</w:t>
      </w:r>
      <w:r>
        <w:rPr>
          <w:rFonts w:ascii="Times New Roman" w:eastAsia="仿宋"/>
          <w:color w:val="auto"/>
          <w:szCs w:val="32"/>
        </w:rPr>
        <w:t>元整（￥</w:t>
      </w:r>
      <w:r>
        <w:rPr>
          <w:rFonts w:hint="eastAsia" w:ascii="Times New Roman" w:eastAsia="仿宋"/>
          <w:color w:val="auto"/>
          <w:szCs w:val="32"/>
        </w:rPr>
        <w:t>50</w:t>
      </w:r>
      <w:r>
        <w:rPr>
          <w:rFonts w:ascii="Times New Roman" w:eastAsia="仿宋"/>
          <w:color w:val="auto"/>
          <w:szCs w:val="32"/>
        </w:rPr>
        <w:t>0,000.00）</w:t>
      </w:r>
      <w:r>
        <w:rPr>
          <w:rFonts w:hint="eastAsia" w:ascii="Times New Roman" w:eastAsia="仿宋"/>
          <w:color w:val="auto"/>
          <w:szCs w:val="32"/>
        </w:rPr>
        <w:t>或50万元整数倍金额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丰2022-15</w:t>
      </w:r>
      <w:r>
        <w:rPr>
          <w:rFonts w:ascii="Times New Roman" w:eastAsia="仿宋"/>
          <w:color w:val="auto"/>
          <w:szCs w:val="32"/>
        </w:rPr>
        <w:t>号地块，起叫价为人民币（大写）</w:t>
      </w:r>
      <w:r>
        <w:rPr>
          <w:rFonts w:hint="eastAsia" w:ascii="Times New Roman" w:eastAsia="仿宋"/>
          <w:color w:val="auto"/>
          <w:szCs w:val="32"/>
        </w:rPr>
        <w:t>壹亿零伍佰万</w:t>
      </w:r>
      <w:r>
        <w:rPr>
          <w:rFonts w:ascii="Times New Roman" w:eastAsia="仿宋"/>
          <w:color w:val="auto"/>
          <w:szCs w:val="32"/>
        </w:rPr>
        <w:t>元整（￥</w:t>
      </w:r>
      <w:r>
        <w:rPr>
          <w:rFonts w:hint="eastAsia" w:ascii="Times New Roman" w:eastAsia="仿宋"/>
          <w:color w:val="auto"/>
          <w:szCs w:val="32"/>
        </w:rPr>
        <w:t>105,00</w:t>
      </w:r>
      <w:r>
        <w:rPr>
          <w:rFonts w:ascii="Times New Roman" w:eastAsia="仿宋"/>
          <w:color w:val="auto"/>
          <w:szCs w:val="32"/>
        </w:rPr>
        <w:t>0,000.00），增价幅度为人民币（大写）</w:t>
      </w:r>
      <w:r>
        <w:rPr>
          <w:rFonts w:hint="eastAsia" w:ascii="Times New Roman" w:eastAsia="仿宋"/>
          <w:color w:val="auto"/>
          <w:szCs w:val="32"/>
        </w:rPr>
        <w:t>肆拾万</w:t>
      </w:r>
      <w:r>
        <w:rPr>
          <w:rFonts w:ascii="Times New Roman" w:eastAsia="仿宋"/>
          <w:color w:val="auto"/>
          <w:szCs w:val="32"/>
        </w:rPr>
        <w:t>元整（￥</w:t>
      </w:r>
      <w:r>
        <w:rPr>
          <w:rFonts w:hint="eastAsia" w:ascii="Times New Roman" w:eastAsia="仿宋"/>
          <w:color w:val="auto"/>
          <w:szCs w:val="32"/>
        </w:rPr>
        <w:t>40</w:t>
      </w:r>
      <w:r>
        <w:rPr>
          <w:rFonts w:ascii="Times New Roman" w:eastAsia="仿宋"/>
          <w:color w:val="auto"/>
          <w:szCs w:val="32"/>
        </w:rPr>
        <w:t>0,000.00）</w:t>
      </w:r>
      <w:r>
        <w:rPr>
          <w:rFonts w:hint="eastAsia" w:ascii="Times New Roman" w:eastAsia="仿宋"/>
          <w:color w:val="auto"/>
          <w:szCs w:val="32"/>
        </w:rPr>
        <w:t>或40万元整数倍金额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丰2022-24</w:t>
      </w:r>
      <w:r>
        <w:rPr>
          <w:rFonts w:ascii="Times New Roman" w:eastAsia="仿宋"/>
          <w:color w:val="auto"/>
          <w:szCs w:val="32"/>
        </w:rPr>
        <w:t>号地块，起叫价为人民币（大写）</w:t>
      </w:r>
      <w:r>
        <w:rPr>
          <w:rFonts w:hint="eastAsia" w:ascii="Times New Roman" w:eastAsia="仿宋"/>
          <w:color w:val="auto"/>
          <w:szCs w:val="32"/>
        </w:rPr>
        <w:t>壹拾叁亿肆仟壹佰万</w:t>
      </w:r>
      <w:r>
        <w:rPr>
          <w:rFonts w:ascii="Times New Roman" w:eastAsia="仿宋"/>
          <w:color w:val="auto"/>
          <w:szCs w:val="32"/>
        </w:rPr>
        <w:t>元整（￥</w:t>
      </w:r>
      <w:r>
        <w:rPr>
          <w:rFonts w:hint="eastAsia" w:ascii="Times New Roman" w:eastAsia="仿宋"/>
          <w:color w:val="auto"/>
          <w:szCs w:val="32"/>
        </w:rPr>
        <w:t>1,341,00</w:t>
      </w:r>
      <w:r>
        <w:rPr>
          <w:rFonts w:ascii="Times New Roman" w:eastAsia="仿宋"/>
          <w:color w:val="auto"/>
          <w:szCs w:val="32"/>
        </w:rPr>
        <w:t>0,000.00），增价幅度为人民币（大写）</w:t>
      </w:r>
      <w:r>
        <w:rPr>
          <w:rFonts w:hint="eastAsia" w:ascii="Times New Roman" w:eastAsia="仿宋"/>
          <w:color w:val="auto"/>
          <w:szCs w:val="32"/>
        </w:rPr>
        <w:t>伍佰万</w:t>
      </w:r>
      <w:r>
        <w:rPr>
          <w:rFonts w:ascii="Times New Roman" w:eastAsia="仿宋"/>
          <w:color w:val="auto"/>
          <w:szCs w:val="32"/>
        </w:rPr>
        <w:t>元整（￥</w:t>
      </w:r>
      <w:r>
        <w:rPr>
          <w:rFonts w:hint="eastAsia" w:ascii="Times New Roman" w:eastAsia="仿宋"/>
          <w:color w:val="auto"/>
          <w:szCs w:val="32"/>
        </w:rPr>
        <w:t>5,00</w:t>
      </w:r>
      <w:r>
        <w:rPr>
          <w:rFonts w:ascii="Times New Roman" w:eastAsia="仿宋"/>
          <w:color w:val="auto"/>
          <w:szCs w:val="32"/>
        </w:rPr>
        <w:t>0,000.00）</w:t>
      </w:r>
      <w:r>
        <w:rPr>
          <w:rFonts w:hint="eastAsia" w:ascii="Times New Roman" w:eastAsia="仿宋"/>
          <w:color w:val="auto"/>
          <w:szCs w:val="32"/>
        </w:rPr>
        <w:t>或500万元整数倍金额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丰2022-47号</w:t>
      </w:r>
      <w:r>
        <w:rPr>
          <w:rFonts w:ascii="Times New Roman" w:eastAsia="仿宋"/>
          <w:color w:val="auto"/>
          <w:szCs w:val="32"/>
        </w:rPr>
        <w:t>地块，起叫价为人民币（大写）</w:t>
      </w:r>
      <w:r>
        <w:rPr>
          <w:rFonts w:hint="eastAsia" w:ascii="Times New Roman" w:eastAsia="仿宋"/>
          <w:color w:val="auto"/>
          <w:szCs w:val="32"/>
        </w:rPr>
        <w:t>叁亿壹仟肆佰万</w:t>
      </w:r>
      <w:r>
        <w:rPr>
          <w:rFonts w:ascii="Times New Roman" w:eastAsia="仿宋"/>
          <w:color w:val="auto"/>
          <w:szCs w:val="32"/>
        </w:rPr>
        <w:t>元整（￥</w:t>
      </w:r>
      <w:r>
        <w:rPr>
          <w:rFonts w:hint="eastAsia" w:ascii="Times New Roman" w:eastAsia="仿宋"/>
          <w:color w:val="auto"/>
          <w:szCs w:val="32"/>
        </w:rPr>
        <w:t>314,00</w:t>
      </w:r>
      <w:r>
        <w:rPr>
          <w:rFonts w:ascii="Times New Roman" w:eastAsia="仿宋"/>
          <w:color w:val="auto"/>
          <w:szCs w:val="32"/>
        </w:rPr>
        <w:t>0,000.00），增价幅度为人民币（大写）</w:t>
      </w:r>
      <w:r>
        <w:rPr>
          <w:rFonts w:hint="eastAsia" w:ascii="Times New Roman" w:eastAsia="仿宋"/>
          <w:color w:val="auto"/>
          <w:szCs w:val="32"/>
        </w:rPr>
        <w:t>壹佰万</w:t>
      </w:r>
      <w:r>
        <w:rPr>
          <w:rFonts w:ascii="Times New Roman" w:eastAsia="仿宋"/>
          <w:color w:val="auto"/>
          <w:szCs w:val="32"/>
        </w:rPr>
        <w:t>元整（￥</w:t>
      </w:r>
      <w:r>
        <w:rPr>
          <w:rFonts w:hint="eastAsia" w:ascii="Times New Roman" w:eastAsia="仿宋"/>
          <w:color w:val="auto"/>
          <w:szCs w:val="32"/>
        </w:rPr>
        <w:t>1,00</w:t>
      </w:r>
      <w:r>
        <w:rPr>
          <w:rFonts w:ascii="Times New Roman" w:eastAsia="仿宋"/>
          <w:color w:val="auto"/>
          <w:szCs w:val="32"/>
        </w:rPr>
        <w:t>0,000.00）</w:t>
      </w:r>
      <w:r>
        <w:rPr>
          <w:rFonts w:hint="eastAsia" w:ascii="Times New Roman" w:eastAsia="仿宋"/>
          <w:color w:val="auto"/>
          <w:szCs w:val="32"/>
        </w:rPr>
        <w:t>或100万元整数倍金额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八、拍卖程序</w:t>
      </w:r>
    </w:p>
    <w:p>
      <w:pPr>
        <w:spacing w:line="520" w:lineRule="exact"/>
        <w:ind w:firstLine="640" w:firstLineChars="200"/>
        <w:rPr>
          <w:rFonts w:ascii="Times New Roman" w:eastAsia="仿宋"/>
          <w:color w:val="auto"/>
          <w:szCs w:val="32"/>
        </w:rPr>
      </w:pPr>
      <w:r>
        <w:rPr>
          <w:rFonts w:ascii="Times New Roman" w:eastAsia="仿宋"/>
          <w:color w:val="auto"/>
          <w:szCs w:val="32"/>
        </w:rPr>
        <w:t>（一）拍卖会程序</w:t>
      </w:r>
    </w:p>
    <w:p>
      <w:pPr>
        <w:spacing w:line="52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spacing w:line="52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spacing w:line="52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spacing w:line="52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spacing w:line="52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spacing w:line="52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或相应宗地的出让价格上限。竞买人报价时，手举的竞买号牌应高出头部。经主持人同意后，竞买人方可放下已经举起的竞买号牌。</w:t>
      </w:r>
    </w:p>
    <w:p>
      <w:pPr>
        <w:spacing w:line="52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spacing w:line="52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10.若竞买人出价达到相应宗地出让价格上限，不再接受更高报价，由拍卖主持人宣布转为由愿意出价相应宗地出让上限价的竞买人报名参加摇号，并宣读《摇号规则》，同时由记录人进行登记。</w:t>
      </w:r>
    </w:p>
    <w:p>
      <w:pPr>
        <w:spacing w:line="520" w:lineRule="exact"/>
        <w:ind w:firstLine="640" w:firstLineChars="200"/>
        <w:rPr>
          <w:rFonts w:ascii="Times New Roman" w:eastAsia="仿宋"/>
          <w:color w:val="auto"/>
          <w:szCs w:val="32"/>
        </w:rPr>
      </w:pPr>
      <w:r>
        <w:rPr>
          <w:rFonts w:ascii="Times New Roman" w:eastAsia="仿宋"/>
          <w:color w:val="auto"/>
          <w:szCs w:val="32"/>
        </w:rPr>
        <w:t>11.拍卖主持人对登记的竞买人通过随机摇号的方式确定竞买人，并由记录人做好相关记录。</w:t>
      </w:r>
    </w:p>
    <w:p>
      <w:pPr>
        <w:spacing w:line="52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spacing w:line="520" w:lineRule="exact"/>
        <w:ind w:firstLine="640" w:firstLineChars="200"/>
        <w:rPr>
          <w:rFonts w:ascii="Times New Roman" w:eastAsia="仿宋"/>
          <w:color w:val="auto"/>
          <w:szCs w:val="32"/>
        </w:rPr>
      </w:pPr>
      <w:r>
        <w:rPr>
          <w:rFonts w:ascii="Times New Roman" w:eastAsia="仿宋"/>
          <w:color w:val="auto"/>
          <w:szCs w:val="32"/>
        </w:rPr>
        <w:t>（四）出让结果公布</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我局将在此次国有建设用地使用权拍卖会结束后10个工作日内，在中国土地市场网（www.landchina.com）、泉州自然资源和规划</w:t>
      </w:r>
      <w:r>
        <w:rPr>
          <w:rFonts w:ascii="Times New Roman" w:eastAsia="仿宋"/>
          <w:color w:val="auto"/>
          <w:kern w:val="10"/>
          <w:szCs w:val="32"/>
        </w:rPr>
        <w:t>信息网（</w:t>
      </w:r>
      <w:r>
        <w:rPr>
          <w:rFonts w:ascii="Times New Roman" w:eastAsia="仿宋"/>
          <w:color w:val="auto"/>
          <w:szCs w:val="32"/>
        </w:rPr>
        <w:t>zyghj.quanzhou.gov.cn</w:t>
      </w:r>
      <w:r>
        <w:rPr>
          <w:rFonts w:ascii="Times New Roman" w:eastAsia="仿宋"/>
          <w:color w:val="auto"/>
          <w:kern w:val="10"/>
          <w:szCs w:val="32"/>
        </w:rPr>
        <w:t>）</w:t>
      </w:r>
      <w:r>
        <w:rPr>
          <w:rFonts w:ascii="Times New Roman" w:eastAsia="仿宋"/>
          <w:color w:val="auto"/>
          <w:szCs w:val="32"/>
        </w:rPr>
        <w:t>公布本次国有建设用地使用权拍卖出让结果。</w:t>
      </w:r>
    </w:p>
    <w:p>
      <w:pPr>
        <w:spacing w:line="520" w:lineRule="exact"/>
        <w:ind w:firstLine="640" w:firstLineChars="200"/>
        <w:rPr>
          <w:rFonts w:ascii="Times New Roman" w:eastAsia="仿宋"/>
          <w:color w:val="auto"/>
          <w:szCs w:val="32"/>
        </w:rPr>
      </w:pPr>
      <w:r>
        <w:rPr>
          <w:rFonts w:ascii="Times New Roman" w:eastAsia="仿宋"/>
          <w:color w:val="auto"/>
          <w:szCs w:val="32"/>
        </w:rPr>
        <w:t>九、竞价规则</w:t>
      </w:r>
    </w:p>
    <w:p>
      <w:pPr>
        <w:spacing w:line="520" w:lineRule="exact"/>
        <w:ind w:firstLine="640" w:firstLineChars="200"/>
        <w:rPr>
          <w:rFonts w:ascii="Times New Roman" w:eastAsia="仿宋"/>
          <w:color w:val="auto"/>
          <w:szCs w:val="32"/>
        </w:rPr>
      </w:pPr>
      <w:r>
        <w:rPr>
          <w:rFonts w:ascii="Times New Roman" w:eastAsia="仿宋"/>
          <w:color w:val="auto"/>
          <w:szCs w:val="32"/>
        </w:rPr>
        <w:t>（一）不设保留价，当竞买人出价达到相应宗地出让上限价时，不再接受更高报价，对于有意向的多个竞买人，采取摇号方式确定竞得人。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（二）竞买人以举牌方式应价，也可以报价，除相应宗地上限价外，报价的加价幅度不得小于拍卖主持人宣布或调整的增价幅度。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（三）本次拍卖不设保留价。</w:t>
      </w:r>
    </w:p>
    <w:p>
      <w:pPr>
        <w:spacing w:line="520" w:lineRule="exact"/>
        <w:ind w:firstLine="640" w:firstLineChars="200"/>
        <w:rPr>
          <w:rFonts w:ascii="Times New Roman" w:eastAsia="仿宋"/>
          <w:color w:val="auto"/>
          <w:szCs w:val="32"/>
        </w:rPr>
      </w:pPr>
      <w:r>
        <w:rPr>
          <w:rFonts w:ascii="Times New Roman" w:eastAsia="仿宋"/>
          <w:color w:val="auto"/>
          <w:kern w:val="10"/>
          <w:szCs w:val="32"/>
        </w:rPr>
        <w:t>（四）竞买人凭《竞买资格确认书》和法定代表人（自然人、受委托代理人）身份证件领取竞买号牌。</w:t>
      </w:r>
      <w:r>
        <w:rPr>
          <w:rFonts w:ascii="Times New Roman" w:eastAsia="仿宋"/>
          <w:color w:val="auto"/>
          <w:szCs w:val="32"/>
        </w:rPr>
        <w:t>竞买号牌代表竞买人的资格。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（五）</w:t>
      </w: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5</w:t>
      </w:r>
      <w:r>
        <w:rPr>
          <w:rFonts w:ascii="Times New Roman" w:eastAsia="仿宋"/>
          <w:color w:val="auto"/>
          <w:szCs w:val="32"/>
        </w:rPr>
        <w:t>月</w:t>
      </w:r>
      <w:r>
        <w:rPr>
          <w:rFonts w:hint="eastAsia" w:ascii="Times New Roman" w:eastAsia="仿宋"/>
          <w:color w:val="auto"/>
          <w:szCs w:val="32"/>
        </w:rPr>
        <w:t>19</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kern w:val="10"/>
          <w:szCs w:val="32"/>
        </w:rPr>
        <w:t>:</w:t>
      </w:r>
      <w:r>
        <w:rPr>
          <w:rFonts w:hint="eastAsia" w:ascii="Times New Roman" w:eastAsia="仿宋"/>
          <w:color w:val="auto"/>
          <w:kern w:val="10"/>
          <w:szCs w:val="32"/>
        </w:rPr>
        <w:t>0</w:t>
      </w:r>
      <w:r>
        <w:rPr>
          <w:rFonts w:ascii="Times New Roman" w:eastAsia="仿宋"/>
          <w:color w:val="auto"/>
          <w:kern w:val="10"/>
          <w:szCs w:val="32"/>
        </w:rPr>
        <w:t>0前，竞买人须领取竞买号牌并进入竞买现场，否则视为放弃竞买资格。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十、缴款时间、交地时间和交地条件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（一）缴款时间</w:t>
      </w:r>
    </w:p>
    <w:p>
      <w:pPr>
        <w:spacing w:line="520" w:lineRule="exact"/>
        <w:ind w:firstLine="640" w:firstLineChars="200"/>
        <w:rPr>
          <w:rFonts w:ascii="Times New Roman" w:eastAsia="仿宋"/>
          <w:color w:val="auto"/>
          <w:kern w:val="10"/>
          <w:szCs w:val="32"/>
        </w:rPr>
      </w:pPr>
      <w:r>
        <w:rPr>
          <w:rFonts w:hint="eastAsia" w:ascii="Times New Roman" w:eastAsia="仿宋"/>
          <w:color w:val="auto"/>
          <w:kern w:val="10"/>
          <w:szCs w:val="32"/>
        </w:rPr>
        <w:t>上述</w:t>
      </w:r>
      <w:r>
        <w:rPr>
          <w:rFonts w:ascii="Times New Roman" w:eastAsia="仿宋"/>
          <w:color w:val="auto"/>
          <w:kern w:val="10"/>
          <w:szCs w:val="32"/>
        </w:rPr>
        <w:t>地块竞得人自竞得之日起30日内应缴交成交价总额50%的成交价款（竞买保证金转作受让地块的定金，抵作土地出让价款），</w:t>
      </w:r>
      <w:r>
        <w:rPr>
          <w:rFonts w:hint="eastAsia" w:ascii="Times New Roman" w:eastAsia="仿宋"/>
          <w:color w:val="auto"/>
          <w:kern w:val="10"/>
          <w:szCs w:val="32"/>
        </w:rPr>
        <w:t>其中丰2022-24号地块</w:t>
      </w:r>
      <w:r>
        <w:rPr>
          <w:rFonts w:ascii="Times New Roman" w:eastAsia="仿宋"/>
          <w:color w:val="auto"/>
          <w:kern w:val="10"/>
          <w:szCs w:val="32"/>
        </w:rPr>
        <w:t>余款自竞得之日起</w:t>
      </w:r>
      <w:r>
        <w:rPr>
          <w:rFonts w:hint="eastAsia" w:ascii="Times New Roman" w:eastAsia="仿宋"/>
          <w:color w:val="auto"/>
          <w:kern w:val="10"/>
          <w:szCs w:val="32"/>
        </w:rPr>
        <w:t>6</w:t>
      </w:r>
      <w:r>
        <w:rPr>
          <w:rFonts w:ascii="Times New Roman" w:eastAsia="仿宋"/>
          <w:color w:val="auto"/>
          <w:kern w:val="10"/>
          <w:szCs w:val="32"/>
        </w:rPr>
        <w:t>个月内交清</w:t>
      </w:r>
      <w:r>
        <w:rPr>
          <w:rFonts w:hint="eastAsia" w:ascii="Times New Roman" w:eastAsia="仿宋"/>
          <w:color w:val="auto"/>
          <w:kern w:val="10"/>
          <w:szCs w:val="32"/>
        </w:rPr>
        <w:t>，其余地块</w:t>
      </w:r>
      <w:r>
        <w:rPr>
          <w:rFonts w:ascii="Times New Roman" w:eastAsia="仿宋"/>
          <w:color w:val="auto"/>
          <w:kern w:val="10"/>
          <w:szCs w:val="32"/>
        </w:rPr>
        <w:t>余款自竞得之日起</w:t>
      </w:r>
      <w:r>
        <w:rPr>
          <w:rFonts w:hint="eastAsia" w:ascii="Times New Roman" w:eastAsia="仿宋"/>
          <w:color w:val="auto"/>
          <w:kern w:val="10"/>
          <w:szCs w:val="32"/>
        </w:rPr>
        <w:t>3</w:t>
      </w:r>
      <w:r>
        <w:rPr>
          <w:rFonts w:ascii="Times New Roman" w:eastAsia="仿宋"/>
          <w:color w:val="auto"/>
          <w:kern w:val="10"/>
          <w:szCs w:val="32"/>
        </w:rPr>
        <w:t>个月内交清</w:t>
      </w:r>
      <w:r>
        <w:rPr>
          <w:rFonts w:hint="eastAsia" w:ascii="Times New Roman" w:eastAsia="仿宋"/>
          <w:color w:val="auto"/>
          <w:kern w:val="10"/>
          <w:szCs w:val="32"/>
        </w:rPr>
        <w:t>。</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竞得人应当按时支付成交价款，不能按时支付成交价款的，自违约之日起，每日按迟延支付款项的1‰向出让人缴纳违约金。延期付款超过60日，经出让人催交后仍不能支付成交价款的，出让人有权解除合同并可请求违约赔偿，竞得人无权要求返还定金。</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（二）交地时间和交地条件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20" w:lineRule="exact"/>
        <w:ind w:firstLine="640" w:firstLineChars="200"/>
        <w:rPr>
          <w:rFonts w:ascii="Times New Roman" w:eastAsia="仿宋"/>
          <w:color w:val="auto"/>
          <w:szCs w:val="32"/>
        </w:rPr>
      </w:pPr>
      <w:r>
        <w:rPr>
          <w:rFonts w:ascii="Times New Roman" w:eastAsia="仿宋"/>
          <w:color w:val="auto"/>
          <w:szCs w:val="32"/>
        </w:rPr>
        <w:t>上述地块竞得人应在签订《国有建设用地使用权出让合同》之日起1年内开工，并在开工后3年内竣工。</w:t>
      </w:r>
    </w:p>
    <w:p>
      <w:pPr>
        <w:spacing w:line="520" w:lineRule="exact"/>
        <w:ind w:firstLine="640" w:firstLineChars="200"/>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竞得人未能按照合同约定日期或同意延建所另行约定日期开工建设或竣工的，每延期一日，应向出让人支付相当于成交价款总额1‰的违约金。</w:t>
      </w:r>
    </w:p>
    <w:p>
      <w:pPr>
        <w:spacing w:line="520" w:lineRule="exact"/>
        <w:ind w:firstLine="640" w:firstLineChars="200"/>
        <w:rPr>
          <w:rFonts w:ascii="Times New Roman" w:eastAsia="仿宋"/>
          <w:color w:val="auto"/>
          <w:szCs w:val="32"/>
        </w:rPr>
      </w:pPr>
      <w:r>
        <w:rPr>
          <w:rFonts w:ascii="Times New Roman" w:eastAsia="仿宋"/>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ascii="Times New Roman" w:eastAsia="仿宋"/>
          <w:color w:val="auto"/>
          <w:szCs w:val="32"/>
        </w:rPr>
      </w:pPr>
      <w:r>
        <w:rPr>
          <w:rFonts w:ascii="Times New Roman" w:eastAsia="仿宋"/>
          <w:color w:val="auto"/>
          <w:szCs w:val="32"/>
        </w:rPr>
        <w:t>竞得人造成土地闲置，按《闲置土地处置办法》有关规定执行。</w:t>
      </w:r>
    </w:p>
    <w:p>
      <w:pPr>
        <w:spacing w:line="520" w:lineRule="exact"/>
        <w:ind w:firstLine="640" w:firstLineChars="200"/>
        <w:rPr>
          <w:rFonts w:ascii="Times New Roman" w:eastAsia="仿宋"/>
          <w:color w:val="auto"/>
          <w:szCs w:val="32"/>
        </w:rPr>
      </w:pPr>
      <w:r>
        <w:rPr>
          <w:rFonts w:ascii="Times New Roman" w:eastAsia="仿宋"/>
          <w:color w:val="auto"/>
          <w:szCs w:val="32"/>
        </w:rPr>
        <w:t>十二、注意事项</w:t>
      </w:r>
    </w:p>
    <w:p>
      <w:pPr>
        <w:spacing w:line="52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eastAsia="仿宋"/>
          <w:color w:val="auto"/>
          <w:szCs w:val="32"/>
        </w:rPr>
        <w:t>竞买人</w:t>
      </w:r>
      <w:bookmarkEnd w:id="0"/>
      <w:r>
        <w:rPr>
          <w:rFonts w:ascii="Times New Roman" w:eastAsia="仿宋"/>
          <w:color w:val="auto"/>
          <w:szCs w:val="32"/>
        </w:rPr>
        <w:t>对拍卖文件及地块现状无异议并全部接受，并对有关承诺承担法律责任。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spacing w:line="52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spacing w:line="52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spacing w:line="52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spacing w:line="52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spacing w:line="520" w:lineRule="exact"/>
        <w:ind w:firstLine="640" w:firstLineChars="200"/>
        <w:rPr>
          <w:rFonts w:ascii="Times New Roman" w:eastAsia="仿宋"/>
          <w:color w:val="auto"/>
          <w:szCs w:val="32"/>
        </w:rPr>
      </w:pPr>
      <w:r>
        <w:rPr>
          <w:rFonts w:ascii="Times New Roman" w:eastAsia="仿宋"/>
          <w:color w:val="auto"/>
          <w:szCs w:val="32"/>
        </w:rPr>
        <w:t>2</w:t>
      </w:r>
      <w:bookmarkStart w:id="1" w:name="OLE_LINK2"/>
      <w:r>
        <w:rPr>
          <w:rFonts w:ascii="Times New Roman" w:eastAsia="仿宋"/>
          <w:color w:val="auto"/>
          <w:szCs w:val="32"/>
        </w:rPr>
        <w:t>．</w:t>
      </w:r>
      <w:bookmarkEnd w:id="1"/>
      <w:r>
        <w:rPr>
          <w:rFonts w:ascii="Times New Roman" w:eastAsia="仿宋"/>
          <w:color w:val="auto"/>
          <w:szCs w:val="32"/>
        </w:rPr>
        <w:t>竞得人逾期或拒绝签订《国有建设用地使用权出让合同》的。</w:t>
      </w:r>
    </w:p>
    <w:p>
      <w:pPr>
        <w:spacing w:line="52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spacing w:line="52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ascii="Times New Roman" w:eastAsia="仿宋"/>
          <w:color w:val="auto"/>
          <w:szCs w:val="32"/>
        </w:rPr>
      </w:pPr>
      <w:r>
        <w:rPr>
          <w:rFonts w:ascii="Times New Roman" w:eastAsia="仿宋"/>
          <w:color w:val="auto"/>
          <w:szCs w:val="32"/>
        </w:rPr>
        <w:t>注：按上述费率</w:t>
      </w:r>
      <w:r>
        <w:rPr>
          <w:rFonts w:hint="eastAsia" w:ascii="Times New Roman" w:eastAsia="仿宋"/>
          <w:color w:val="auto"/>
          <w:szCs w:val="32"/>
        </w:rPr>
        <w:t>分级累进</w:t>
      </w:r>
      <w:r>
        <w:rPr>
          <w:rFonts w:ascii="Times New Roman" w:eastAsia="仿宋"/>
          <w:color w:val="auto"/>
          <w:szCs w:val="32"/>
        </w:rPr>
        <w:t>计收</w:t>
      </w:r>
      <w:r>
        <w:rPr>
          <w:rFonts w:hint="eastAsia" w:ascii="Times New Roman" w:eastAsia="仿宋"/>
          <w:color w:val="auto"/>
          <w:szCs w:val="32"/>
        </w:rPr>
        <w:t>，</w:t>
      </w:r>
      <w:r>
        <w:rPr>
          <w:rFonts w:ascii="Times New Roman" w:eastAsia="仿宋"/>
          <w:color w:val="auto"/>
          <w:szCs w:val="32"/>
        </w:rPr>
        <w:t>每宗收费金额不足100元的按100元收取。</w:t>
      </w:r>
    </w:p>
    <w:p>
      <w:pPr>
        <w:spacing w:line="520" w:lineRule="exact"/>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w:t>
      </w:r>
      <w:r>
        <w:rPr>
          <w:rFonts w:ascii="Times New Roman" w:eastAsia="仿宋"/>
          <w:bCs/>
          <w:color w:val="auto"/>
          <w:szCs w:val="32"/>
        </w:rPr>
        <w:t>交易服务费账户户名</w:t>
      </w:r>
      <w:r>
        <w:rPr>
          <w:rFonts w:ascii="Times New Roman" w:eastAsia="仿宋"/>
          <w:color w:val="auto"/>
          <w:szCs w:val="32"/>
        </w:rPr>
        <w:t>：泉州市产权交易中心有限公司，兴业银行泉州丰泽支行152690100100090830。</w:t>
      </w:r>
    </w:p>
    <w:p>
      <w:pPr>
        <w:spacing w:line="52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spacing w:line="52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（十四）</w:t>
      </w:r>
      <w:r>
        <w:rPr>
          <w:rFonts w:ascii="Times New Roman" w:eastAsia="仿宋"/>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ascii="Times New Roman" w:eastAsia="仿宋"/>
          <w:color w:val="auto"/>
          <w:szCs w:val="32"/>
        </w:rPr>
      </w:pPr>
    </w:p>
    <w:p>
      <w:pPr>
        <w:spacing w:line="520" w:lineRule="exact"/>
        <w:ind w:right="1440" w:rightChars="450"/>
        <w:jc w:val="right"/>
        <w:rPr>
          <w:rFonts w:ascii="Times New Roman" w:eastAsia="仿宋"/>
          <w:color w:val="auto"/>
          <w:szCs w:val="32"/>
        </w:rPr>
      </w:pPr>
      <w:r>
        <w:rPr>
          <w:rFonts w:ascii="Times New Roman" w:eastAsia="仿宋"/>
          <w:color w:val="auto"/>
          <w:szCs w:val="32"/>
        </w:rPr>
        <w:t>泉州市自然资源和规划局</w:t>
      </w:r>
    </w:p>
    <w:p>
      <w:pPr>
        <w:spacing w:line="520" w:lineRule="exact"/>
        <w:ind w:right="1920" w:rightChars="600"/>
        <w:jc w:val="right"/>
        <w:rPr>
          <w:rFonts w:ascii="Times New Roman" w:eastAsia="仿宋"/>
          <w:color w:val="auto"/>
          <w:szCs w:val="32"/>
        </w:rPr>
      </w:pP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4</w:t>
      </w:r>
      <w:r>
        <w:rPr>
          <w:rFonts w:ascii="Times New Roman" w:eastAsia="仿宋"/>
          <w:color w:val="auto"/>
          <w:szCs w:val="32"/>
        </w:rPr>
        <w:t>月</w:t>
      </w:r>
      <w:r>
        <w:rPr>
          <w:rFonts w:hint="eastAsia" w:ascii="Times New Roman" w:eastAsia="仿宋"/>
          <w:color w:val="auto"/>
          <w:szCs w:val="32"/>
        </w:rPr>
        <w:t>2</w:t>
      </w:r>
      <w:r>
        <w:rPr>
          <w:rFonts w:hint="eastAsia" w:ascii="Times New Roman" w:eastAsia="仿宋"/>
          <w:color w:val="auto"/>
          <w:szCs w:val="32"/>
          <w:lang w:val="en-US" w:eastAsia="zh-CN"/>
        </w:rPr>
        <w:t>9</w:t>
      </w:r>
      <w:bookmarkStart w:id="2" w:name="_GoBack"/>
      <w:bookmarkEnd w:id="2"/>
      <w:r>
        <w:rPr>
          <w:rFonts w:ascii="Times New Roman" w:eastAsia="仿宋"/>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8</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3"/>
      <w:numFmt w:val="chineseCounting"/>
      <w:suff w:val="nothing"/>
      <w:lvlText w:val="%1、"/>
      <w:lvlJc w:val="left"/>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6B5"/>
    <w:rsid w:val="00002AE4"/>
    <w:rsid w:val="00003F9E"/>
    <w:rsid w:val="00006DED"/>
    <w:rsid w:val="00007284"/>
    <w:rsid w:val="00012B7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30213"/>
    <w:rsid w:val="00230EA6"/>
    <w:rsid w:val="002310EC"/>
    <w:rsid w:val="002640EE"/>
    <w:rsid w:val="002641D3"/>
    <w:rsid w:val="00265439"/>
    <w:rsid w:val="002701FA"/>
    <w:rsid w:val="002747E3"/>
    <w:rsid w:val="00287634"/>
    <w:rsid w:val="00297A19"/>
    <w:rsid w:val="002A493F"/>
    <w:rsid w:val="002A62DB"/>
    <w:rsid w:val="002B0B0C"/>
    <w:rsid w:val="002B2DAB"/>
    <w:rsid w:val="002B5E05"/>
    <w:rsid w:val="002C2C99"/>
    <w:rsid w:val="002C4BE5"/>
    <w:rsid w:val="002C622F"/>
    <w:rsid w:val="002D60EF"/>
    <w:rsid w:val="002D6203"/>
    <w:rsid w:val="002E3F49"/>
    <w:rsid w:val="002F405D"/>
    <w:rsid w:val="002F61D2"/>
    <w:rsid w:val="00305481"/>
    <w:rsid w:val="003137B2"/>
    <w:rsid w:val="00314E95"/>
    <w:rsid w:val="00351390"/>
    <w:rsid w:val="00355A1D"/>
    <w:rsid w:val="00370D21"/>
    <w:rsid w:val="00371488"/>
    <w:rsid w:val="0038165A"/>
    <w:rsid w:val="003824A3"/>
    <w:rsid w:val="003834BA"/>
    <w:rsid w:val="00387C74"/>
    <w:rsid w:val="0039207F"/>
    <w:rsid w:val="00392175"/>
    <w:rsid w:val="003963F2"/>
    <w:rsid w:val="003A1A81"/>
    <w:rsid w:val="003B178E"/>
    <w:rsid w:val="003B4A36"/>
    <w:rsid w:val="003E153A"/>
    <w:rsid w:val="00400F82"/>
    <w:rsid w:val="004013BA"/>
    <w:rsid w:val="00402C58"/>
    <w:rsid w:val="004218FA"/>
    <w:rsid w:val="00423CC5"/>
    <w:rsid w:val="00427340"/>
    <w:rsid w:val="0043783F"/>
    <w:rsid w:val="00451A04"/>
    <w:rsid w:val="00451F9D"/>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183F"/>
    <w:rsid w:val="004F6EA6"/>
    <w:rsid w:val="004F74E4"/>
    <w:rsid w:val="00511B4C"/>
    <w:rsid w:val="00511D8D"/>
    <w:rsid w:val="0051676C"/>
    <w:rsid w:val="00516D6D"/>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1079"/>
    <w:rsid w:val="00BD7737"/>
    <w:rsid w:val="00BE5931"/>
    <w:rsid w:val="00BE5A94"/>
    <w:rsid w:val="00C058D9"/>
    <w:rsid w:val="00C119BB"/>
    <w:rsid w:val="00C31BA7"/>
    <w:rsid w:val="00C31C32"/>
    <w:rsid w:val="00C40B94"/>
    <w:rsid w:val="00C41A28"/>
    <w:rsid w:val="00C503D2"/>
    <w:rsid w:val="00C53A6B"/>
    <w:rsid w:val="00C84B93"/>
    <w:rsid w:val="00C979BC"/>
    <w:rsid w:val="00CA1CD9"/>
    <w:rsid w:val="00CA48D8"/>
    <w:rsid w:val="00CA624D"/>
    <w:rsid w:val="00CA6C71"/>
    <w:rsid w:val="00CB24B8"/>
    <w:rsid w:val="00CD5A27"/>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6714"/>
    <w:rsid w:val="00E87845"/>
    <w:rsid w:val="00E9243E"/>
    <w:rsid w:val="00EA1A86"/>
    <w:rsid w:val="00EA7921"/>
    <w:rsid w:val="00EC40B9"/>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105D2635"/>
    <w:rsid w:val="10801B04"/>
    <w:rsid w:val="14C702EB"/>
    <w:rsid w:val="157435CA"/>
    <w:rsid w:val="17646D55"/>
    <w:rsid w:val="17861AEB"/>
    <w:rsid w:val="185C25B1"/>
    <w:rsid w:val="1AB322F0"/>
    <w:rsid w:val="1F351FAF"/>
    <w:rsid w:val="1F86792F"/>
    <w:rsid w:val="1FF746DA"/>
    <w:rsid w:val="20B024A1"/>
    <w:rsid w:val="25205CF8"/>
    <w:rsid w:val="25E129FE"/>
    <w:rsid w:val="29535BBE"/>
    <w:rsid w:val="2BD42381"/>
    <w:rsid w:val="2E9F243D"/>
    <w:rsid w:val="2EE17814"/>
    <w:rsid w:val="2FEF7D77"/>
    <w:rsid w:val="3566232B"/>
    <w:rsid w:val="3A314ED2"/>
    <w:rsid w:val="3A7D040E"/>
    <w:rsid w:val="3B0E44F4"/>
    <w:rsid w:val="3DB14890"/>
    <w:rsid w:val="3E8C3A26"/>
    <w:rsid w:val="412A0477"/>
    <w:rsid w:val="42041D48"/>
    <w:rsid w:val="45FB48A4"/>
    <w:rsid w:val="48DB5365"/>
    <w:rsid w:val="4BDF7549"/>
    <w:rsid w:val="4DF37842"/>
    <w:rsid w:val="4F46621E"/>
    <w:rsid w:val="53417DE8"/>
    <w:rsid w:val="545D6861"/>
    <w:rsid w:val="551E49A7"/>
    <w:rsid w:val="565C1810"/>
    <w:rsid w:val="58805E0B"/>
    <w:rsid w:val="59FFFD36"/>
    <w:rsid w:val="5A100A69"/>
    <w:rsid w:val="5AC66E6D"/>
    <w:rsid w:val="5C2F2B85"/>
    <w:rsid w:val="5DC00719"/>
    <w:rsid w:val="5E6370DC"/>
    <w:rsid w:val="5E7210B7"/>
    <w:rsid w:val="5EBE1F44"/>
    <w:rsid w:val="5EF61BEE"/>
    <w:rsid w:val="61E31F82"/>
    <w:rsid w:val="627AADA0"/>
    <w:rsid w:val="64B6114A"/>
    <w:rsid w:val="654D6D68"/>
    <w:rsid w:val="67835892"/>
    <w:rsid w:val="69287FF9"/>
    <w:rsid w:val="69BA7FBC"/>
    <w:rsid w:val="69EF4473"/>
    <w:rsid w:val="69F5315F"/>
    <w:rsid w:val="6C5E3ED7"/>
    <w:rsid w:val="6D601559"/>
    <w:rsid w:val="6DC95D5B"/>
    <w:rsid w:val="6F565F34"/>
    <w:rsid w:val="6F817756"/>
    <w:rsid w:val="706C57A0"/>
    <w:rsid w:val="70856287"/>
    <w:rsid w:val="71CC5BD1"/>
    <w:rsid w:val="75BE6923"/>
    <w:rsid w:val="75DE796D"/>
    <w:rsid w:val="772C6592"/>
    <w:rsid w:val="7C614DBC"/>
    <w:rsid w:val="7CED3003"/>
    <w:rsid w:val="7DC16531"/>
    <w:rsid w:val="7DFD2408"/>
    <w:rsid w:val="B6F5B665"/>
    <w:rsid w:val="FED7EB8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pPr>
      <w:spacing w:beforeAutospacing="1" w:afterAutospacing="1"/>
      <w:jc w:val="left"/>
    </w:pPr>
    <w:rPr>
      <w:sz w:val="24"/>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Char"/>
    <w:basedOn w:val="1"/>
    <w:qFormat/>
    <w:uiPriority w:val="0"/>
  </w:style>
  <w:style w:type="paragraph" w:customStyle="1" w:styleId="16">
    <w:name w:val="_Style 3"/>
    <w:basedOn w:val="1"/>
    <w:qFormat/>
    <w:uiPriority w:val="0"/>
  </w:style>
  <w:style w:type="paragraph" w:customStyle="1" w:styleId="17">
    <w:name w:val="Char Char"/>
    <w:basedOn w:val="1"/>
    <w:qFormat/>
    <w:uiPriority w:val="0"/>
    <w:rPr>
      <w:rFonts w:ascii="Times New Roman" w:eastAsia="宋体"/>
      <w:color w:val="auto"/>
      <w:kern w:val="2"/>
      <w:sz w:val="21"/>
      <w:szCs w:val="24"/>
    </w:rPr>
  </w:style>
  <w:style w:type="paragraph" w:customStyle="1" w:styleId="18">
    <w:name w:val="Char Char8"/>
    <w:basedOn w:val="1"/>
    <w:qFormat/>
    <w:uiPriority w:val="0"/>
    <w:rPr>
      <w:rFonts w:ascii="Times New Roman" w:eastAsia="宋体"/>
      <w:color w:val="auto"/>
      <w:kern w:val="2"/>
      <w:sz w:val="21"/>
      <w:szCs w:val="24"/>
    </w:rPr>
  </w:style>
  <w:style w:type="paragraph" w:customStyle="1" w:styleId="19">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dfdf</Company>
  <Pages>17</Pages>
  <Words>1514</Words>
  <Characters>8634</Characters>
  <Lines>71</Lines>
  <Paragraphs>20</Paragraphs>
  <TotalTime>16</TotalTime>
  <ScaleCrop>false</ScaleCrop>
  <LinksUpToDate>false</LinksUpToDate>
  <CharactersWithSpaces>10128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2019-12-06T07:04:00Z</dcterms:created>
  <dc:creator>未羽</dc:creator>
  <cp:lastModifiedBy>市资源规划局</cp:lastModifiedBy>
  <cp:lastPrinted>2021-11-25T15:02:00Z</cp:lastPrinted>
  <dcterms:modified xsi:type="dcterms:W3CDTF">2023-04-28T06:49:03Z</dcterms:modified>
  <dc:title>国有建设用地使用权拍卖出让须知</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147DB053FB7B4A7CAC58A0FE60B8BF0F</vt:lpwstr>
  </property>
</Properties>
</file>