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黑体"/>
          <w:color w:val="auto"/>
          <w:sz w:val="36"/>
        </w:rPr>
      </w:pPr>
    </w:p>
    <w:p>
      <w:pPr>
        <w:spacing w:line="520" w:lineRule="exact"/>
        <w:jc w:val="center"/>
        <w:rPr>
          <w:rFonts w:ascii="Times New Roman" w:eastAsia="黑体"/>
          <w:color w:val="auto"/>
          <w:sz w:val="36"/>
        </w:rPr>
      </w:pPr>
    </w:p>
    <w:p>
      <w:pPr>
        <w:spacing w:line="520" w:lineRule="exact"/>
        <w:jc w:val="center"/>
        <w:rPr>
          <w:rFonts w:ascii="Times New Roman" w:eastAsia="黑体"/>
          <w:color w:val="auto"/>
          <w:sz w:val="36"/>
        </w:rPr>
      </w:pPr>
    </w:p>
    <w:p>
      <w:pPr>
        <w:spacing w:line="520" w:lineRule="exact"/>
        <w:jc w:val="center"/>
        <w:rPr>
          <w:rFonts w:ascii="Times New Roman" w:eastAsia="黑体"/>
          <w:color w:val="auto"/>
          <w:sz w:val="36"/>
        </w:rPr>
      </w:pPr>
    </w:p>
    <w:p>
      <w:pPr>
        <w:spacing w:line="520" w:lineRule="exact"/>
        <w:jc w:val="center"/>
        <w:rPr>
          <w:rFonts w:ascii="Times New Roman" w:eastAsia="黑体"/>
          <w:color w:val="auto"/>
          <w:sz w:val="36"/>
        </w:rPr>
      </w:pPr>
    </w:p>
    <w:p>
      <w:pPr>
        <w:spacing w:line="520" w:lineRule="exact"/>
        <w:rPr>
          <w:rFonts w:ascii="Times New Roman" w:eastAsia="黑体"/>
          <w:color w:val="auto"/>
          <w:sz w:val="36"/>
        </w:rPr>
      </w:pPr>
    </w:p>
    <w:p>
      <w:pPr>
        <w:spacing w:line="520" w:lineRule="exact"/>
        <w:rPr>
          <w:rFonts w:ascii="Times New Roman" w:eastAsia="黑体"/>
          <w:color w:val="auto"/>
          <w:sz w:val="36"/>
        </w:rPr>
      </w:pPr>
    </w:p>
    <w:p>
      <w:pPr>
        <w:spacing w:line="520" w:lineRule="exact"/>
        <w:rPr>
          <w:rFonts w:ascii="Times New Roman" w:eastAsia="黑体"/>
          <w:color w:val="auto"/>
          <w:sz w:val="36"/>
        </w:rPr>
      </w:pPr>
    </w:p>
    <w:p>
      <w:pPr>
        <w:spacing w:line="520" w:lineRule="exact"/>
        <w:rPr>
          <w:rFonts w:ascii="Times New Roman" w:eastAsia="黑体"/>
          <w:color w:val="auto"/>
          <w:sz w:val="36"/>
        </w:rPr>
      </w:pPr>
    </w:p>
    <w:p>
      <w:pPr>
        <w:spacing w:line="540" w:lineRule="exact"/>
        <w:jc w:val="center"/>
        <w:rPr>
          <w:rFonts w:ascii="Times New Roman" w:eastAsia="汉仪大宋简"/>
          <w:color w:val="auto"/>
          <w:sz w:val="44"/>
          <w:szCs w:val="44"/>
        </w:rPr>
      </w:pPr>
      <w:r>
        <w:rPr>
          <w:rFonts w:ascii="Times New Roman" w:eastAsia="汉仪大宋简"/>
          <w:color w:val="auto"/>
          <w:sz w:val="44"/>
          <w:szCs w:val="44"/>
        </w:rPr>
        <w:t>泉州市自然资源和规划局</w:t>
      </w:r>
    </w:p>
    <w:p>
      <w:pPr>
        <w:spacing w:line="540" w:lineRule="exact"/>
        <w:jc w:val="center"/>
        <w:rPr>
          <w:rFonts w:ascii="Times New Roman" w:eastAsia="汉仪大宋简"/>
          <w:color w:val="auto"/>
          <w:sz w:val="44"/>
          <w:szCs w:val="44"/>
        </w:rPr>
      </w:pPr>
      <w:r>
        <w:rPr>
          <w:rFonts w:ascii="Times New Roman" w:eastAsia="汉仪大宋简"/>
          <w:color w:val="auto"/>
          <w:sz w:val="44"/>
          <w:szCs w:val="44"/>
        </w:rPr>
        <w:t>关于</w:t>
      </w:r>
      <w:r>
        <w:rPr>
          <w:rFonts w:hint="eastAsia" w:ascii="Times New Roman" w:eastAsia="汉仪大宋简"/>
          <w:color w:val="auto"/>
          <w:sz w:val="44"/>
          <w:szCs w:val="44"/>
        </w:rPr>
        <w:t>台2022-9号</w:t>
      </w:r>
      <w:r>
        <w:rPr>
          <w:rFonts w:ascii="Times New Roman" w:eastAsia="汉仪大宋简"/>
          <w:color w:val="auto"/>
          <w:sz w:val="44"/>
          <w:szCs w:val="44"/>
        </w:rPr>
        <w:t>地块国有建设用地使用权出让公告</w:t>
      </w:r>
    </w:p>
    <w:p>
      <w:pPr>
        <w:spacing w:line="540" w:lineRule="exact"/>
        <w:jc w:val="center"/>
        <w:rPr>
          <w:rFonts w:ascii="Times New Roman" w:eastAsia="楷体"/>
          <w:color w:val="auto"/>
          <w:szCs w:val="32"/>
        </w:rPr>
      </w:pPr>
      <w:r>
        <w:rPr>
          <w:rFonts w:ascii="Times New Roman" w:eastAsia="楷体"/>
          <w:color w:val="auto"/>
          <w:szCs w:val="32"/>
        </w:rPr>
        <w:t>泉自然资告字〔202</w:t>
      </w:r>
      <w:r>
        <w:rPr>
          <w:rFonts w:hint="eastAsia" w:ascii="Times New Roman" w:eastAsia="楷体"/>
          <w:color w:val="auto"/>
          <w:szCs w:val="32"/>
        </w:rPr>
        <w:t>3</w:t>
      </w:r>
      <w:r>
        <w:rPr>
          <w:rFonts w:ascii="Times New Roman" w:eastAsia="楷体"/>
          <w:color w:val="auto"/>
          <w:szCs w:val="32"/>
        </w:rPr>
        <w:t>〕</w:t>
      </w:r>
      <w:r>
        <w:rPr>
          <w:rFonts w:hint="eastAsia" w:ascii="Times New Roman" w:eastAsia="楷体"/>
          <w:color w:val="auto"/>
          <w:szCs w:val="32"/>
        </w:rPr>
        <w:t>5</w:t>
      </w:r>
      <w:r>
        <w:rPr>
          <w:rFonts w:ascii="Times New Roman" w:eastAsia="楷体"/>
          <w:color w:val="auto"/>
          <w:szCs w:val="32"/>
        </w:rPr>
        <w:t>号</w:t>
      </w:r>
    </w:p>
    <w:p>
      <w:pPr>
        <w:spacing w:line="540" w:lineRule="exact"/>
        <w:jc w:val="center"/>
        <w:rPr>
          <w:rFonts w:ascii="Times New Roman"/>
          <w:color w:val="auto"/>
          <w:sz w:val="30"/>
          <w:szCs w:val="30"/>
        </w:rPr>
      </w:pPr>
    </w:p>
    <w:p>
      <w:pPr>
        <w:pStyle w:val="2"/>
        <w:spacing w:line="560" w:lineRule="exact"/>
        <w:ind w:firstLine="640" w:firstLineChars="200"/>
        <w:jc w:val="left"/>
        <w:rPr>
          <w:rFonts w:ascii="Times New Roman" w:eastAsia="仿宋"/>
          <w:color w:val="auto"/>
          <w:sz w:val="32"/>
          <w:szCs w:val="32"/>
        </w:rPr>
      </w:pPr>
      <w:r>
        <w:rPr>
          <w:rFonts w:ascii="Times New Roman" w:eastAsia="仿宋"/>
          <w:color w:val="auto"/>
          <w:sz w:val="32"/>
          <w:szCs w:val="32"/>
        </w:rPr>
        <w:t>经泉州市人民政府批准，我局决定拍卖出让泉州市中心市区统管区</w:t>
      </w:r>
      <w:r>
        <w:rPr>
          <w:rFonts w:hint="eastAsia" w:ascii="Times New Roman" w:eastAsia="仿宋"/>
          <w:color w:val="auto"/>
          <w:sz w:val="32"/>
          <w:szCs w:val="32"/>
        </w:rPr>
        <w:t>1</w:t>
      </w:r>
      <w:r>
        <w:rPr>
          <w:rFonts w:ascii="Times New Roman" w:eastAsia="仿宋"/>
          <w:color w:val="auto"/>
          <w:sz w:val="32"/>
          <w:szCs w:val="32"/>
        </w:rPr>
        <w:t>宗地块国有建设用地使用权。现将有关事项公告如下：</w:t>
      </w:r>
    </w:p>
    <w:p>
      <w:pPr>
        <w:spacing w:line="560" w:lineRule="exact"/>
        <w:ind w:firstLine="640" w:firstLineChars="200"/>
        <w:rPr>
          <w:rFonts w:ascii="Times New Roman" w:eastAsia="楷体"/>
          <w:color w:val="auto"/>
          <w:szCs w:val="32"/>
        </w:rPr>
      </w:pPr>
      <w:r>
        <w:rPr>
          <w:rFonts w:ascii="Times New Roman" w:eastAsia="楷体"/>
          <w:color w:val="auto"/>
          <w:szCs w:val="32"/>
        </w:rPr>
        <w:t>一、宗地概况及相关要求</w:t>
      </w:r>
    </w:p>
    <w:p>
      <w:pPr>
        <w:spacing w:line="560" w:lineRule="exact"/>
        <w:ind w:left="601"/>
        <w:rPr>
          <w:rFonts w:ascii="Times New Roman" w:eastAsia="仿宋"/>
          <w:color w:val="auto"/>
          <w:szCs w:val="32"/>
        </w:rPr>
      </w:pPr>
      <w:r>
        <w:rPr>
          <w:rFonts w:ascii="Times New Roman" w:eastAsia="仿宋"/>
          <w:color w:val="auto"/>
          <w:szCs w:val="32"/>
        </w:rPr>
        <w:t>（一）拍卖出让地块的基本情况和规划指标等要求</w:t>
      </w:r>
    </w:p>
    <w:tbl>
      <w:tblPr>
        <w:tblStyle w:val="7"/>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019"/>
        <w:gridCol w:w="1434"/>
        <w:gridCol w:w="2688"/>
        <w:gridCol w:w="780"/>
        <w:gridCol w:w="780"/>
        <w:gridCol w:w="1470"/>
        <w:gridCol w:w="742"/>
        <w:gridCol w:w="851"/>
        <w:gridCol w:w="850"/>
        <w:gridCol w:w="99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44"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地块</w:t>
            </w:r>
          </w:p>
          <w:p>
            <w:pPr>
              <w:spacing w:line="560" w:lineRule="exact"/>
              <w:jc w:val="center"/>
              <w:rPr>
                <w:rFonts w:ascii="Times New Roman" w:eastAsia="仿宋"/>
                <w:b/>
                <w:color w:val="auto"/>
                <w:sz w:val="24"/>
                <w:szCs w:val="24"/>
              </w:rPr>
            </w:pPr>
            <w:r>
              <w:rPr>
                <w:rFonts w:ascii="Times New Roman" w:eastAsia="仿宋"/>
                <w:b/>
                <w:color w:val="auto"/>
                <w:sz w:val="24"/>
                <w:szCs w:val="24"/>
              </w:rPr>
              <w:t>编号</w:t>
            </w:r>
          </w:p>
        </w:tc>
        <w:tc>
          <w:tcPr>
            <w:tcW w:w="2019"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地块位置</w:t>
            </w:r>
          </w:p>
        </w:tc>
        <w:tc>
          <w:tcPr>
            <w:tcW w:w="1434"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土地面积</w:t>
            </w:r>
          </w:p>
        </w:tc>
        <w:tc>
          <w:tcPr>
            <w:tcW w:w="2688"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土地用途</w:t>
            </w:r>
          </w:p>
          <w:p>
            <w:pPr>
              <w:spacing w:line="560" w:lineRule="exact"/>
              <w:jc w:val="center"/>
              <w:rPr>
                <w:rFonts w:ascii="Times New Roman" w:eastAsia="仿宋"/>
                <w:b/>
                <w:color w:val="auto"/>
                <w:sz w:val="24"/>
                <w:szCs w:val="24"/>
              </w:rPr>
            </w:pPr>
            <w:r>
              <w:rPr>
                <w:rFonts w:ascii="Times New Roman" w:eastAsia="仿宋"/>
                <w:b/>
                <w:color w:val="auto"/>
                <w:sz w:val="24"/>
                <w:szCs w:val="24"/>
              </w:rPr>
              <w:t>及出让年限</w:t>
            </w:r>
          </w:p>
        </w:tc>
        <w:tc>
          <w:tcPr>
            <w:tcW w:w="3772" w:type="dxa"/>
            <w:gridSpan w:val="4"/>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规划经济技术指标</w:t>
            </w:r>
          </w:p>
        </w:tc>
        <w:tc>
          <w:tcPr>
            <w:tcW w:w="851"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供地条件</w:t>
            </w:r>
          </w:p>
        </w:tc>
        <w:tc>
          <w:tcPr>
            <w:tcW w:w="850"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出让</w:t>
            </w:r>
          </w:p>
          <w:p>
            <w:pPr>
              <w:spacing w:line="560" w:lineRule="exact"/>
              <w:jc w:val="center"/>
              <w:rPr>
                <w:rFonts w:ascii="Times New Roman" w:eastAsia="仿宋"/>
                <w:b/>
                <w:color w:val="auto"/>
                <w:sz w:val="24"/>
                <w:szCs w:val="24"/>
              </w:rPr>
            </w:pPr>
            <w:r>
              <w:rPr>
                <w:rFonts w:ascii="Times New Roman" w:eastAsia="仿宋"/>
                <w:b/>
                <w:color w:val="auto"/>
                <w:sz w:val="24"/>
                <w:szCs w:val="24"/>
              </w:rPr>
              <w:t>方式</w:t>
            </w:r>
          </w:p>
        </w:tc>
        <w:tc>
          <w:tcPr>
            <w:tcW w:w="993"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起始价</w:t>
            </w:r>
          </w:p>
        </w:tc>
        <w:tc>
          <w:tcPr>
            <w:tcW w:w="850" w:type="dxa"/>
            <w:vMerge w:val="restart"/>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竞买</w:t>
            </w:r>
          </w:p>
          <w:p>
            <w:pPr>
              <w:spacing w:line="560" w:lineRule="exact"/>
              <w:jc w:val="center"/>
              <w:rPr>
                <w:rFonts w:ascii="Times New Roman" w:eastAsia="仿宋"/>
                <w:b/>
                <w:color w:val="auto"/>
                <w:sz w:val="24"/>
                <w:szCs w:val="24"/>
              </w:rPr>
            </w:pPr>
            <w:r>
              <w:rPr>
                <w:rFonts w:ascii="Times New Roman" w:eastAsia="仿宋"/>
                <w:b/>
                <w:color w:val="auto"/>
                <w:sz w:val="24"/>
                <w:szCs w:val="24"/>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44" w:type="dxa"/>
            <w:vMerge w:val="continue"/>
            <w:vAlign w:val="center"/>
          </w:tcPr>
          <w:p>
            <w:pPr>
              <w:spacing w:line="560" w:lineRule="exact"/>
              <w:jc w:val="center"/>
              <w:rPr>
                <w:rFonts w:ascii="Times New Roman" w:eastAsia="仿宋"/>
                <w:color w:val="auto"/>
                <w:szCs w:val="32"/>
              </w:rPr>
            </w:pPr>
          </w:p>
        </w:tc>
        <w:tc>
          <w:tcPr>
            <w:tcW w:w="2019" w:type="dxa"/>
            <w:vMerge w:val="continue"/>
            <w:vAlign w:val="center"/>
          </w:tcPr>
          <w:p>
            <w:pPr>
              <w:spacing w:line="560" w:lineRule="exact"/>
              <w:jc w:val="center"/>
              <w:rPr>
                <w:rFonts w:ascii="Times New Roman" w:eastAsia="仿宋"/>
                <w:color w:val="auto"/>
                <w:szCs w:val="32"/>
              </w:rPr>
            </w:pPr>
          </w:p>
        </w:tc>
        <w:tc>
          <w:tcPr>
            <w:tcW w:w="1434" w:type="dxa"/>
            <w:vMerge w:val="continue"/>
            <w:vAlign w:val="center"/>
          </w:tcPr>
          <w:p>
            <w:pPr>
              <w:spacing w:line="560" w:lineRule="exact"/>
              <w:jc w:val="center"/>
              <w:rPr>
                <w:rFonts w:ascii="Times New Roman" w:eastAsia="仿宋"/>
                <w:color w:val="auto"/>
                <w:szCs w:val="32"/>
              </w:rPr>
            </w:pPr>
          </w:p>
        </w:tc>
        <w:tc>
          <w:tcPr>
            <w:tcW w:w="2688" w:type="dxa"/>
            <w:vMerge w:val="continue"/>
            <w:vAlign w:val="center"/>
          </w:tcPr>
          <w:p>
            <w:pPr>
              <w:spacing w:line="560" w:lineRule="exact"/>
              <w:jc w:val="center"/>
              <w:rPr>
                <w:rFonts w:ascii="Times New Roman" w:eastAsia="仿宋"/>
                <w:color w:val="auto"/>
                <w:szCs w:val="32"/>
              </w:rPr>
            </w:pPr>
          </w:p>
        </w:tc>
        <w:tc>
          <w:tcPr>
            <w:tcW w:w="780" w:type="dxa"/>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建筑密度</w:t>
            </w:r>
          </w:p>
        </w:tc>
        <w:tc>
          <w:tcPr>
            <w:tcW w:w="780" w:type="dxa"/>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容积率</w:t>
            </w:r>
          </w:p>
        </w:tc>
        <w:tc>
          <w:tcPr>
            <w:tcW w:w="1470" w:type="dxa"/>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建筑高度</w:t>
            </w:r>
          </w:p>
        </w:tc>
        <w:tc>
          <w:tcPr>
            <w:tcW w:w="742" w:type="dxa"/>
            <w:vAlign w:val="center"/>
          </w:tcPr>
          <w:p>
            <w:pPr>
              <w:spacing w:line="560" w:lineRule="exact"/>
              <w:jc w:val="center"/>
              <w:rPr>
                <w:rFonts w:ascii="Times New Roman" w:eastAsia="仿宋"/>
                <w:b/>
                <w:color w:val="auto"/>
                <w:sz w:val="24"/>
                <w:szCs w:val="24"/>
              </w:rPr>
            </w:pPr>
            <w:r>
              <w:rPr>
                <w:rFonts w:ascii="Times New Roman" w:eastAsia="仿宋"/>
                <w:b/>
                <w:color w:val="auto"/>
                <w:sz w:val="24"/>
                <w:szCs w:val="24"/>
              </w:rPr>
              <w:t>绿地率</w:t>
            </w:r>
          </w:p>
        </w:tc>
        <w:tc>
          <w:tcPr>
            <w:tcW w:w="851" w:type="dxa"/>
            <w:vMerge w:val="continue"/>
            <w:vAlign w:val="center"/>
          </w:tcPr>
          <w:p>
            <w:pPr>
              <w:spacing w:line="560" w:lineRule="exact"/>
              <w:jc w:val="center"/>
              <w:rPr>
                <w:rFonts w:ascii="Times New Roman" w:eastAsia="仿宋"/>
                <w:color w:val="auto"/>
                <w:szCs w:val="32"/>
              </w:rPr>
            </w:pPr>
          </w:p>
        </w:tc>
        <w:tc>
          <w:tcPr>
            <w:tcW w:w="850" w:type="dxa"/>
            <w:vMerge w:val="continue"/>
            <w:vAlign w:val="center"/>
          </w:tcPr>
          <w:p>
            <w:pPr>
              <w:spacing w:line="560" w:lineRule="exact"/>
              <w:jc w:val="center"/>
              <w:rPr>
                <w:rFonts w:ascii="Times New Roman" w:eastAsia="仿宋"/>
                <w:color w:val="auto"/>
                <w:szCs w:val="32"/>
              </w:rPr>
            </w:pPr>
          </w:p>
        </w:tc>
        <w:tc>
          <w:tcPr>
            <w:tcW w:w="993" w:type="dxa"/>
            <w:vMerge w:val="continue"/>
            <w:vAlign w:val="center"/>
          </w:tcPr>
          <w:p>
            <w:pPr>
              <w:spacing w:line="560" w:lineRule="exact"/>
              <w:jc w:val="center"/>
              <w:rPr>
                <w:rFonts w:ascii="Times New Roman" w:eastAsia="仿宋"/>
                <w:color w:val="auto"/>
                <w:szCs w:val="32"/>
              </w:rPr>
            </w:pPr>
          </w:p>
        </w:tc>
        <w:tc>
          <w:tcPr>
            <w:tcW w:w="850" w:type="dxa"/>
            <w:vMerge w:val="continue"/>
            <w:vAlign w:val="center"/>
          </w:tcPr>
          <w:p>
            <w:pPr>
              <w:spacing w:line="560" w:lineRule="exact"/>
              <w:jc w:val="center"/>
              <w:rPr>
                <w:rFonts w:ascii="Times New Roman" w:eastAsia="仿宋"/>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0" w:hRule="atLeast"/>
        </w:trPr>
        <w:tc>
          <w:tcPr>
            <w:tcW w:w="1144" w:type="dxa"/>
            <w:vAlign w:val="center"/>
          </w:tcPr>
          <w:p>
            <w:pPr>
              <w:spacing w:line="560" w:lineRule="exact"/>
              <w:jc w:val="center"/>
              <w:rPr>
                <w:rFonts w:ascii="Times New Roman" w:eastAsia="仿宋"/>
                <w:color w:val="auto"/>
                <w:sz w:val="24"/>
                <w:szCs w:val="24"/>
              </w:rPr>
            </w:pPr>
            <w:r>
              <w:rPr>
                <w:rFonts w:hint="eastAsia" w:ascii="Times New Roman" w:eastAsia="仿宋"/>
                <w:color w:val="auto"/>
                <w:sz w:val="24"/>
                <w:szCs w:val="24"/>
              </w:rPr>
              <w:t>台2022-9</w:t>
            </w:r>
            <w:r>
              <w:rPr>
                <w:rFonts w:ascii="Times New Roman" w:eastAsia="仿宋"/>
                <w:color w:val="auto"/>
                <w:sz w:val="24"/>
                <w:szCs w:val="24"/>
              </w:rPr>
              <w:t>号地块</w:t>
            </w:r>
          </w:p>
        </w:tc>
        <w:tc>
          <w:tcPr>
            <w:tcW w:w="2019"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泉州台商投资区洛阳镇白沙一村、白沙二村</w:t>
            </w:r>
          </w:p>
        </w:tc>
        <w:tc>
          <w:tcPr>
            <w:tcW w:w="1434"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5003</w:t>
            </w:r>
            <w:r>
              <w:rPr>
                <w:rFonts w:hint="eastAsia" w:ascii="Times New Roman" w:eastAsia="仿宋"/>
                <w:color w:val="auto"/>
                <w:sz w:val="24"/>
                <w:szCs w:val="24"/>
              </w:rPr>
              <w:t>9</w:t>
            </w:r>
            <w:r>
              <w:rPr>
                <w:rFonts w:ascii="Times New Roman" w:eastAsia="仿宋"/>
                <w:color w:val="auto"/>
                <w:sz w:val="24"/>
                <w:szCs w:val="24"/>
              </w:rPr>
              <w:t>平方米（约合75亩）</w:t>
            </w:r>
          </w:p>
        </w:tc>
        <w:tc>
          <w:tcPr>
            <w:tcW w:w="2688" w:type="dxa"/>
            <w:vAlign w:val="center"/>
          </w:tcPr>
          <w:p>
            <w:pPr>
              <w:spacing w:line="560" w:lineRule="exact"/>
              <w:jc w:val="left"/>
              <w:rPr>
                <w:rFonts w:ascii="Times New Roman" w:eastAsia="仿宋"/>
                <w:color w:val="auto"/>
                <w:sz w:val="24"/>
                <w:szCs w:val="24"/>
              </w:rPr>
            </w:pPr>
            <w:r>
              <w:rPr>
                <w:rFonts w:ascii="Times New Roman" w:eastAsia="仿宋"/>
                <w:color w:val="auto"/>
                <w:sz w:val="24"/>
                <w:szCs w:val="24"/>
              </w:rPr>
              <w:t>居住—城镇住宅（二类城镇住宅）70年、居住—城镇社区服务设施70年、绿地与开敞空间—防护绿地50年</w:t>
            </w:r>
          </w:p>
        </w:tc>
        <w:tc>
          <w:tcPr>
            <w:tcW w:w="780"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2</w:t>
            </w:r>
            <w:r>
              <w:rPr>
                <w:rFonts w:hint="eastAsia" w:ascii="Times New Roman" w:eastAsia="仿宋"/>
                <w:color w:val="auto"/>
                <w:sz w:val="24"/>
                <w:szCs w:val="24"/>
              </w:rPr>
              <w:t>0</w:t>
            </w:r>
            <w:r>
              <w:rPr>
                <w:rFonts w:ascii="Times New Roman" w:eastAsia="仿宋"/>
                <w:color w:val="auto"/>
                <w:sz w:val="24"/>
                <w:szCs w:val="24"/>
              </w:rPr>
              <w:t>%以下</w:t>
            </w:r>
          </w:p>
        </w:tc>
        <w:tc>
          <w:tcPr>
            <w:tcW w:w="780" w:type="dxa"/>
            <w:vAlign w:val="center"/>
          </w:tcPr>
          <w:p>
            <w:pPr>
              <w:spacing w:line="560" w:lineRule="exact"/>
              <w:jc w:val="center"/>
              <w:rPr>
                <w:rFonts w:ascii="Times New Roman" w:eastAsia="仿宋"/>
                <w:color w:val="auto"/>
                <w:sz w:val="24"/>
                <w:szCs w:val="24"/>
              </w:rPr>
            </w:pPr>
            <w:r>
              <w:rPr>
                <w:rFonts w:hint="eastAsia" w:ascii="Times New Roman" w:eastAsia="仿宋"/>
                <w:color w:val="auto"/>
                <w:sz w:val="24"/>
                <w:szCs w:val="24"/>
              </w:rPr>
              <w:t>2.9</w:t>
            </w:r>
            <w:r>
              <w:rPr>
                <w:rFonts w:ascii="Times New Roman" w:eastAsia="仿宋"/>
                <w:color w:val="auto"/>
                <w:sz w:val="24"/>
                <w:szCs w:val="24"/>
              </w:rPr>
              <w:t>以下1.0以上</w:t>
            </w:r>
          </w:p>
        </w:tc>
        <w:tc>
          <w:tcPr>
            <w:tcW w:w="1470" w:type="dxa"/>
            <w:vAlign w:val="center"/>
          </w:tcPr>
          <w:p>
            <w:pPr>
              <w:spacing w:line="560" w:lineRule="exact"/>
              <w:jc w:val="left"/>
              <w:rPr>
                <w:rFonts w:ascii="Times New Roman" w:eastAsia="仿宋"/>
                <w:color w:val="auto"/>
                <w:sz w:val="24"/>
                <w:szCs w:val="24"/>
              </w:rPr>
            </w:pPr>
            <w:r>
              <w:rPr>
                <w:rFonts w:ascii="Times New Roman" w:eastAsia="仿宋"/>
                <w:color w:val="auto"/>
                <w:sz w:val="24"/>
                <w:szCs w:val="24"/>
              </w:rPr>
              <w:t>80米以下</w:t>
            </w:r>
          </w:p>
        </w:tc>
        <w:tc>
          <w:tcPr>
            <w:tcW w:w="742" w:type="dxa"/>
            <w:vAlign w:val="center"/>
          </w:tcPr>
          <w:p>
            <w:pPr>
              <w:spacing w:line="560" w:lineRule="exact"/>
              <w:jc w:val="center"/>
              <w:rPr>
                <w:rFonts w:ascii="Times New Roman" w:eastAsia="仿宋"/>
                <w:color w:val="auto"/>
                <w:sz w:val="24"/>
                <w:szCs w:val="24"/>
              </w:rPr>
            </w:pPr>
            <w:r>
              <w:rPr>
                <w:rFonts w:hint="eastAsia" w:ascii="Times New Roman" w:eastAsia="仿宋"/>
                <w:color w:val="auto"/>
                <w:sz w:val="24"/>
                <w:szCs w:val="24"/>
              </w:rPr>
              <w:t>35</w:t>
            </w:r>
            <w:r>
              <w:rPr>
                <w:rFonts w:ascii="Times New Roman" w:eastAsia="仿宋"/>
                <w:color w:val="auto"/>
                <w:sz w:val="24"/>
                <w:szCs w:val="24"/>
              </w:rPr>
              <w:t>%以上</w:t>
            </w:r>
          </w:p>
        </w:tc>
        <w:tc>
          <w:tcPr>
            <w:tcW w:w="851"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现状</w:t>
            </w:r>
          </w:p>
        </w:tc>
        <w:tc>
          <w:tcPr>
            <w:tcW w:w="850"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拍卖</w:t>
            </w:r>
          </w:p>
        </w:tc>
        <w:tc>
          <w:tcPr>
            <w:tcW w:w="993"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64600万元</w:t>
            </w:r>
          </w:p>
        </w:tc>
        <w:tc>
          <w:tcPr>
            <w:tcW w:w="850" w:type="dxa"/>
            <w:vAlign w:val="center"/>
          </w:tcPr>
          <w:p>
            <w:pPr>
              <w:spacing w:line="560" w:lineRule="exact"/>
              <w:jc w:val="center"/>
              <w:rPr>
                <w:rFonts w:ascii="Times New Roman" w:eastAsia="仿宋"/>
                <w:color w:val="auto"/>
                <w:sz w:val="24"/>
                <w:szCs w:val="24"/>
              </w:rPr>
            </w:pPr>
            <w:r>
              <w:rPr>
                <w:rFonts w:ascii="Times New Roman" w:eastAsia="仿宋"/>
                <w:color w:val="auto"/>
                <w:sz w:val="24"/>
                <w:szCs w:val="24"/>
              </w:rPr>
              <w:t>13000万元</w:t>
            </w:r>
          </w:p>
        </w:tc>
      </w:tr>
    </w:tbl>
    <w:p>
      <w:pPr>
        <w:widowControl/>
        <w:spacing w:line="560" w:lineRule="exact"/>
        <w:ind w:firstLine="640" w:firstLineChars="200"/>
        <w:rPr>
          <w:rFonts w:ascii="Times New Roman" w:eastAsia="仿宋"/>
          <w:color w:val="auto"/>
          <w:szCs w:val="32"/>
        </w:rPr>
      </w:pPr>
      <w:r>
        <w:rPr>
          <w:rFonts w:ascii="Times New Roman" w:eastAsia="仿宋"/>
          <w:color w:val="auto"/>
          <w:szCs w:val="32"/>
        </w:rPr>
        <w:t>（二）相关要求说明</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w:t>
      </w:r>
      <w:r>
        <w:rPr>
          <w:rFonts w:hint="eastAsia" w:ascii="Times New Roman" w:eastAsia="仿宋"/>
          <w:color w:val="auto"/>
          <w:szCs w:val="32"/>
        </w:rPr>
        <w:t>上述</w:t>
      </w:r>
      <w:r>
        <w:rPr>
          <w:rFonts w:ascii="Times New Roman" w:eastAsia="仿宋"/>
          <w:color w:val="auto"/>
          <w:szCs w:val="32"/>
        </w:rPr>
        <w:t>地块竞买申请人须具有房地产开发资质。</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2.台2022-9号地块竞得人须按有关规范要求配套建设相应的公共配套服务设施，包括：社区管理服务用房、社区医疗服务站、居家养老服务站、托育服务等设施[具体规划要求详见《泉州市自然资源和规划局关于重新下达2022-T06号储备用地规划条件的通知》（泉资规〔2023〕102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台2022-9号地块由非泉州台商投资区法人竞得的，须在泉州台商投资区注册成立新公司，所有税收应在当地缴纳</w:t>
      </w:r>
      <w:r>
        <w:rPr>
          <w:rFonts w:hint="eastAsia" w:ascii="Times New Roman" w:eastAsia="仿宋"/>
          <w:color w:val="auto"/>
          <w:szCs w:val="32"/>
        </w:rPr>
        <w:t>。</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.台2022-9号地块竞得人应根据《泉州台商投资区管理委员会关于印发泉州台商投资区夜景工程实施方案的通知》（泉台管〔2021〕9号）</w:t>
      </w:r>
      <w:r>
        <w:rPr>
          <w:rFonts w:hint="eastAsia" w:ascii="Times New Roman" w:eastAsia="仿宋"/>
          <w:color w:val="auto"/>
          <w:szCs w:val="32"/>
        </w:rPr>
        <w:t>要求</w:t>
      </w:r>
      <w:r>
        <w:rPr>
          <w:rFonts w:ascii="Times New Roman" w:eastAsia="仿宋"/>
          <w:color w:val="auto"/>
          <w:szCs w:val="32"/>
        </w:rPr>
        <w:t>，增加夜景工程规划建设专篇。同时，应按照泉州台商投资区统一标准设置施工围挡。</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5</w:t>
      </w:r>
      <w:r>
        <w:rPr>
          <w:rFonts w:ascii="Times New Roman" w:eastAsia="仿宋"/>
          <w:color w:val="auto"/>
          <w:szCs w:val="32"/>
        </w:rPr>
        <w:t>.台2022-9号地块商品房的业主直系子女可申请就读首都师范大学附属泉州学校（小学、初中）或泉州台商投资区第三实验学校（小学、初中）。台2022-9号地块幼儿园纳入周边地块统筹配套，竞得人应按规定缴纳相应的幼儿园建设费用（标准为每平方米计容建筑面积80元）。</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6</w:t>
      </w:r>
      <w:r>
        <w:rPr>
          <w:rFonts w:ascii="Times New Roman" w:eastAsia="仿宋"/>
          <w:color w:val="auto"/>
          <w:szCs w:val="32"/>
        </w:rPr>
        <w:t>.台2022-9号地块位于城市重要地段、主干道沿线，建筑立面设计应结合</w:t>
      </w:r>
      <w:r>
        <w:rPr>
          <w:rFonts w:hint="eastAsia" w:ascii="Times New Roman" w:eastAsia="仿宋"/>
          <w:color w:val="auto"/>
          <w:szCs w:val="32"/>
          <w:lang w:val="en-US" w:eastAsia="zh-CN"/>
        </w:rPr>
        <w:t>泉州</w:t>
      </w:r>
      <w:r>
        <w:rPr>
          <w:rFonts w:ascii="Times New Roman" w:eastAsia="仿宋"/>
          <w:color w:val="auto"/>
          <w:szCs w:val="32"/>
        </w:rPr>
        <w:t>台商</w:t>
      </w:r>
      <w:r>
        <w:rPr>
          <w:rFonts w:hint="eastAsia" w:ascii="Times New Roman" w:eastAsia="仿宋"/>
          <w:color w:val="auto"/>
          <w:szCs w:val="32"/>
          <w:lang w:val="en-US" w:eastAsia="zh-CN"/>
        </w:rPr>
        <w:t>投资</w:t>
      </w:r>
      <w:r>
        <w:rPr>
          <w:rFonts w:ascii="Times New Roman" w:eastAsia="仿宋"/>
          <w:color w:val="auto"/>
          <w:szCs w:val="32"/>
        </w:rPr>
        <w:t>区环境（地理、文化等）突出城市展示界面协调，设计方案须先经</w:t>
      </w:r>
      <w:r>
        <w:rPr>
          <w:rFonts w:hint="eastAsia" w:ascii="Times New Roman" w:eastAsia="仿宋"/>
          <w:color w:val="auto"/>
          <w:szCs w:val="32"/>
          <w:lang w:val="en-US" w:eastAsia="zh-CN"/>
        </w:rPr>
        <w:t>泉州</w:t>
      </w:r>
      <w:r>
        <w:rPr>
          <w:rFonts w:ascii="Times New Roman" w:eastAsia="仿宋"/>
          <w:color w:val="auto"/>
          <w:szCs w:val="32"/>
        </w:rPr>
        <w:t>台商</w:t>
      </w:r>
      <w:r>
        <w:rPr>
          <w:rFonts w:hint="eastAsia" w:ascii="Times New Roman" w:eastAsia="仿宋"/>
          <w:color w:val="auto"/>
          <w:szCs w:val="32"/>
          <w:lang w:val="en-US" w:eastAsia="zh-CN"/>
        </w:rPr>
        <w:t>投资</w:t>
      </w:r>
      <w:r>
        <w:rPr>
          <w:rFonts w:ascii="Times New Roman" w:eastAsia="仿宋"/>
          <w:color w:val="auto"/>
          <w:szCs w:val="32"/>
        </w:rPr>
        <w:t>区管委会组织初审。地块内配套防护绿地由竞得人投资建设，建设标准不得</w:t>
      </w:r>
      <w:r>
        <w:rPr>
          <w:rFonts w:hint="eastAsia" w:ascii="Times New Roman" w:eastAsia="仿宋"/>
          <w:color w:val="auto"/>
          <w:szCs w:val="32"/>
        </w:rPr>
        <w:t>低</w:t>
      </w:r>
      <w:r>
        <w:rPr>
          <w:rFonts w:ascii="Times New Roman" w:eastAsia="仿宋"/>
          <w:color w:val="auto"/>
          <w:szCs w:val="32"/>
        </w:rPr>
        <w:t>于500元/平方米。</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7</w:t>
      </w:r>
      <w:r>
        <w:rPr>
          <w:rFonts w:ascii="Times New Roman" w:eastAsia="仿宋"/>
          <w:color w:val="auto"/>
          <w:szCs w:val="32"/>
        </w:rPr>
        <w:t>.台2022-9号地块竞买人应在竞买申请书中承诺，如竞得地块，在项目建设达到预售条件时，同意该项目商品房的预售价格受政府调控。台2022-9号地块商品住宅部分最高销售均价为14000元/平方米（毛坯）。</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8</w:t>
      </w:r>
      <w:r>
        <w:rPr>
          <w:rFonts w:ascii="Times New Roman" w:eastAsia="仿宋"/>
          <w:color w:val="auto"/>
          <w:szCs w:val="32"/>
        </w:rPr>
        <w:t>．上述地块的可销售房源应全部按程序办理预售手续并向社会公开销售。严禁采取“以房抵债”、股东或特定全体垄断房源、办理自有产权等方式逃避公开销售，否则住建部门不予办理合同网签备案，产权登记部门不予办理产权。</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9</w:t>
      </w:r>
      <w:r>
        <w:rPr>
          <w:rFonts w:ascii="Times New Roman" w:eastAsia="仿宋"/>
          <w:color w:val="auto"/>
          <w:szCs w:val="32"/>
        </w:rPr>
        <w:t>．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w:t>
      </w:r>
      <w:r>
        <w:rPr>
          <w:rFonts w:hint="eastAsia" w:ascii="Times New Roman" w:eastAsia="仿宋"/>
          <w:color w:val="auto"/>
          <w:szCs w:val="32"/>
          <w:lang w:val="en-US" w:eastAsia="zh-CN"/>
        </w:rPr>
        <w:t>该</w:t>
      </w:r>
      <w:r>
        <w:rPr>
          <w:rFonts w:ascii="Times New Roman" w:eastAsia="仿宋"/>
          <w:color w:val="auto"/>
          <w:szCs w:val="32"/>
        </w:rPr>
        <w:t>《国有建设用地使用权出让合同》一并解除，已缴纳的土地出让价款不予退还。</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10</w:t>
      </w:r>
      <w:r>
        <w:rPr>
          <w:rFonts w:ascii="Times New Roman" w:eastAsia="仿宋"/>
          <w:color w:val="auto"/>
          <w:szCs w:val="32"/>
        </w:rPr>
        <w:t>．按照《泉州市住房和城乡建设局等三部门关于加快推动新型建筑工业化发展的通知》（泉建规〔2022〕3号）要求，上述地块的装配式建筑应占新建建筑面积30%以上。</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11</w:t>
      </w:r>
      <w:r>
        <w:rPr>
          <w:rFonts w:ascii="Times New Roman" w:eastAsia="仿宋"/>
          <w:color w:val="auto"/>
          <w:szCs w:val="32"/>
        </w:rPr>
        <w:t>．按照《泉州市人民政府关于印发泉州市促进房地产市场持续健康稳定发展若干意见（2018—2025年）的通知》（泉政文〔2018〕87号）要求，上述地块的建筑单体质量要求达到泉州市优质工程及以上。</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12</w:t>
      </w:r>
      <w:r>
        <w:rPr>
          <w:rFonts w:ascii="Times New Roman" w:eastAsia="仿宋"/>
          <w:color w:val="auto"/>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泉州市自然资源和规划局关于加强新建商品住宅及商办类建筑建设管理的通知》（泉政办明传〔2021〕75号）要求，上述地块开发建设应符合《新建商品住宅建设品质提升事项》要求。</w:t>
      </w:r>
    </w:p>
    <w:p>
      <w:pPr>
        <w:widowControl/>
        <w:spacing w:line="560" w:lineRule="exact"/>
        <w:ind w:firstLine="640" w:firstLineChars="200"/>
        <w:rPr>
          <w:rFonts w:ascii="Times New Roman" w:eastAsia="楷体"/>
          <w:color w:val="auto"/>
          <w:szCs w:val="32"/>
        </w:rPr>
      </w:pPr>
      <w:r>
        <w:rPr>
          <w:rFonts w:ascii="Times New Roman" w:eastAsia="楷体"/>
          <w:color w:val="auto"/>
          <w:szCs w:val="32"/>
        </w:rPr>
        <w:t>二、竞买人资格</w:t>
      </w:r>
    </w:p>
    <w:p>
      <w:pPr>
        <w:widowControl/>
        <w:spacing w:line="560" w:lineRule="exact"/>
        <w:ind w:firstLine="640" w:firstLineChars="200"/>
        <w:rPr>
          <w:rFonts w:ascii="Times New Roman" w:eastAsia="仿宋"/>
          <w:color w:val="auto"/>
          <w:szCs w:val="32"/>
          <w:u w:val="single"/>
        </w:rPr>
      </w:pPr>
      <w:bookmarkStart w:id="0" w:name="_Hlk25847111"/>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w:t>
      </w:r>
      <w:bookmarkEnd w:id="0"/>
      <w:r>
        <w:rPr>
          <w:rFonts w:ascii="Times New Roman" w:eastAsia="仿宋"/>
          <w:color w:val="auto"/>
          <w:szCs w:val="32"/>
        </w:rPr>
        <w:t>，同一企业及其控股的各个公司，不得参与同一宗地的竞买。</w:t>
      </w:r>
    </w:p>
    <w:p>
      <w:pPr>
        <w:widowControl/>
        <w:spacing w:line="560" w:lineRule="exact"/>
        <w:ind w:firstLine="640" w:firstLineChars="200"/>
        <w:rPr>
          <w:rFonts w:ascii="Times New Roman" w:eastAsia="楷体"/>
          <w:color w:val="auto"/>
          <w:szCs w:val="32"/>
        </w:rPr>
      </w:pPr>
      <w:r>
        <w:rPr>
          <w:rFonts w:ascii="Times New Roman" w:eastAsia="楷体"/>
          <w:color w:val="auto"/>
          <w:szCs w:val="32"/>
        </w:rPr>
        <w:t>三、</w:t>
      </w:r>
      <w:bookmarkStart w:id="1" w:name="_Hlk85131897"/>
      <w:r>
        <w:rPr>
          <w:rFonts w:ascii="Times New Roman" w:eastAsia="楷体"/>
          <w:color w:val="auto"/>
          <w:szCs w:val="32"/>
        </w:rPr>
        <w:t>本次国有建设用地使用权采用“限房价、限地价、摇号”方式拍卖出让，按照价高者得的原则确定竞得人，不设保留价；当拍卖溢价率达到15%时（即</w:t>
      </w:r>
      <w:r>
        <w:rPr>
          <w:rFonts w:hint="eastAsia" w:ascii="Times New Roman" w:eastAsia="楷体"/>
          <w:color w:val="auto"/>
          <w:szCs w:val="32"/>
        </w:rPr>
        <w:t>台2022-9</w:t>
      </w:r>
      <w:r>
        <w:rPr>
          <w:rFonts w:ascii="Times New Roman" w:eastAsia="楷体"/>
          <w:color w:val="auto"/>
          <w:szCs w:val="32"/>
        </w:rPr>
        <w:t>号地块总价74290万元，平均楼面地价5675.2元/平方米），采取熔断机制，不再接受更高报价，对于有意向的多个竞买人，当即现场采取摇号方式确定竞得人。</w:t>
      </w:r>
      <w:bookmarkEnd w:id="1"/>
    </w:p>
    <w:p>
      <w:pPr>
        <w:widowControl/>
        <w:spacing w:line="560" w:lineRule="exact"/>
        <w:ind w:firstLine="640" w:firstLineChars="200"/>
        <w:rPr>
          <w:rFonts w:ascii="Times New Roman" w:eastAsia="楷体"/>
          <w:color w:val="auto"/>
          <w:szCs w:val="32"/>
        </w:rPr>
      </w:pPr>
      <w:r>
        <w:rPr>
          <w:rFonts w:ascii="Times New Roman" w:eastAsia="楷体"/>
          <w:color w:val="auto"/>
          <w:szCs w:val="32"/>
        </w:rPr>
        <w:t>四、报名与实地踏勘</w:t>
      </w:r>
    </w:p>
    <w:p>
      <w:pPr>
        <w:widowControl/>
        <w:spacing w:line="560" w:lineRule="exact"/>
        <w:ind w:firstLine="640" w:firstLineChars="200"/>
        <w:rPr>
          <w:rFonts w:ascii="Times New Roman" w:eastAsia="仿宋"/>
          <w:b/>
          <w:bCs/>
          <w:color w:val="auto"/>
          <w:szCs w:val="32"/>
        </w:rPr>
      </w:pPr>
      <w:r>
        <w:rPr>
          <w:rFonts w:ascii="Times New Roman" w:eastAsia="仿宋"/>
          <w:color w:val="auto"/>
          <w:szCs w:val="32"/>
        </w:rPr>
        <w:t>（一）拍卖地块的有关文件，可于2023年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29</w:t>
      </w:r>
      <w:r>
        <w:rPr>
          <w:rFonts w:ascii="Times New Roman" w:eastAsia="仿宋"/>
          <w:color w:val="auto"/>
          <w:szCs w:val="32"/>
        </w:rPr>
        <w:t>日至</w:t>
      </w:r>
      <w:r>
        <w:rPr>
          <w:rFonts w:hint="eastAsia" w:ascii="Times New Roman" w:eastAsia="仿宋"/>
          <w:color w:val="auto"/>
          <w:szCs w:val="32"/>
        </w:rPr>
        <w:t>7</w:t>
      </w:r>
      <w:r>
        <w:rPr>
          <w:rFonts w:ascii="Times New Roman" w:eastAsia="仿宋"/>
          <w:color w:val="auto"/>
          <w:szCs w:val="32"/>
        </w:rPr>
        <w:t>月17日（工作日）到泉州市丰泽区海星街100号东海大厦A幢市政务服务中心4楼450室购买索取，</w:t>
      </w:r>
      <w:r>
        <w:rPr>
          <w:rFonts w:ascii="Times New Roman" w:eastAsia="仿宋"/>
          <w:b/>
          <w:bCs/>
          <w:color w:val="auto"/>
          <w:szCs w:val="32"/>
        </w:rPr>
        <w:t>电话：0595-22189025。</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（二）竞买人须在2023年</w:t>
      </w:r>
      <w:r>
        <w:rPr>
          <w:rFonts w:hint="eastAsia" w:ascii="Times New Roman" w:eastAsia="仿宋"/>
          <w:color w:val="auto"/>
          <w:szCs w:val="32"/>
        </w:rPr>
        <w:t>7</w:t>
      </w:r>
      <w:r>
        <w:rPr>
          <w:rFonts w:ascii="Times New Roman" w:eastAsia="仿宋"/>
          <w:color w:val="auto"/>
          <w:szCs w:val="32"/>
        </w:rPr>
        <w:t>月17日17时前（工作日）携带有效营业执照副本、法定代表人身份证件或授权委托书、已交纳竞买保证金的凭证及其他相关要求材料等，到泉州市丰泽区海星街100号东海大厦A幢市政务服务中心4楼450室办理报名手续。</w:t>
      </w:r>
      <w:r>
        <w:rPr>
          <w:rFonts w:ascii="Times New Roman" w:eastAsia="仿宋"/>
          <w:b/>
          <w:bCs/>
          <w:color w:val="auto"/>
          <w:szCs w:val="32"/>
        </w:rPr>
        <w:t>电话：0595-22189025。</w:t>
      </w:r>
      <w:r>
        <w:rPr>
          <w:rFonts w:ascii="Times New Roman" w:eastAsia="仿宋"/>
          <w:color w:val="auto"/>
          <w:szCs w:val="32"/>
        </w:rPr>
        <w:t>交纳竞买保证金的截止时间为2023年</w:t>
      </w:r>
      <w:r>
        <w:rPr>
          <w:rFonts w:hint="eastAsia" w:ascii="Times New Roman" w:eastAsia="仿宋"/>
          <w:color w:val="auto"/>
          <w:szCs w:val="32"/>
        </w:rPr>
        <w:t>7</w:t>
      </w:r>
      <w:r>
        <w:rPr>
          <w:rFonts w:ascii="Times New Roman" w:eastAsia="仿宋"/>
          <w:color w:val="auto"/>
          <w:szCs w:val="32"/>
        </w:rPr>
        <w:t>月17日17时前（以泉州市产权交易中心有限公司收到款项的时间为准）。</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经审查，竞买人按规定交纳竞买保证金，具备申请条件的，泉州市产权交易中心有限公司将在报名结束后1日内确认其竞买资格，发给《竞买资格确认书》。</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（三）拍卖地块踏勘时间为2023年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3</w:t>
      </w:r>
      <w:r>
        <w:rPr>
          <w:rFonts w:ascii="Times New Roman" w:eastAsia="仿宋"/>
          <w:color w:val="auto"/>
          <w:szCs w:val="32"/>
        </w:rPr>
        <w:t>日至</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rPr>
        <w:t>4</w:t>
      </w:r>
      <w:r>
        <w:rPr>
          <w:rFonts w:ascii="Times New Roman" w:eastAsia="仿宋"/>
          <w:color w:val="auto"/>
          <w:szCs w:val="32"/>
        </w:rPr>
        <w:t>日。需由我局派员陪同实地踏勘的，请提前与我局联系，联系电话：0595－22769392。</w:t>
      </w:r>
    </w:p>
    <w:p>
      <w:pPr>
        <w:widowControl/>
        <w:spacing w:line="560" w:lineRule="exact"/>
        <w:ind w:firstLine="600"/>
        <w:rPr>
          <w:rFonts w:ascii="Times New Roman" w:eastAsia="楷体"/>
          <w:color w:val="auto"/>
          <w:szCs w:val="32"/>
        </w:rPr>
      </w:pPr>
      <w:r>
        <w:rPr>
          <w:rFonts w:ascii="Times New Roman" w:eastAsia="楷体"/>
          <w:color w:val="auto"/>
          <w:szCs w:val="32"/>
        </w:rPr>
        <w:t>五、拍卖时间与地点</w:t>
      </w:r>
    </w:p>
    <w:p>
      <w:pPr>
        <w:widowControl/>
        <w:spacing w:line="560" w:lineRule="exact"/>
        <w:ind w:firstLine="600" w:firstLineChars="200"/>
        <w:rPr>
          <w:rFonts w:ascii="Times New Roman" w:eastAsia="仿宋"/>
          <w:color w:val="auto"/>
          <w:sz w:val="30"/>
          <w:szCs w:val="30"/>
        </w:rPr>
      </w:pPr>
      <w:r>
        <w:rPr>
          <w:rFonts w:ascii="Times New Roman" w:eastAsia="仿宋"/>
          <w:color w:val="auto"/>
          <w:sz w:val="30"/>
          <w:szCs w:val="30"/>
        </w:rPr>
        <w:t>拍卖时间：2023年</w:t>
      </w:r>
      <w:r>
        <w:rPr>
          <w:rFonts w:hint="eastAsia" w:ascii="Times New Roman" w:eastAsia="仿宋"/>
          <w:color w:val="auto"/>
          <w:sz w:val="30"/>
          <w:szCs w:val="30"/>
        </w:rPr>
        <w:t>7</w:t>
      </w:r>
      <w:r>
        <w:rPr>
          <w:rFonts w:ascii="Times New Roman" w:eastAsia="仿宋"/>
          <w:color w:val="auto"/>
          <w:sz w:val="30"/>
          <w:szCs w:val="30"/>
        </w:rPr>
        <w:t>月19日9：00。</w:t>
      </w:r>
    </w:p>
    <w:p>
      <w:pPr>
        <w:widowControl/>
        <w:spacing w:line="560" w:lineRule="exact"/>
        <w:ind w:firstLine="600" w:firstLineChars="200"/>
        <w:rPr>
          <w:rFonts w:ascii="Times New Roman" w:eastAsia="仿宋"/>
          <w:color w:val="auto"/>
          <w:sz w:val="30"/>
          <w:szCs w:val="30"/>
        </w:rPr>
      </w:pPr>
      <w:r>
        <w:rPr>
          <w:rFonts w:ascii="Times New Roman" w:eastAsia="仿宋"/>
          <w:color w:val="auto"/>
          <w:sz w:val="30"/>
          <w:szCs w:val="30"/>
        </w:rPr>
        <w:t>拍卖地点：</w:t>
      </w:r>
      <w:r>
        <w:rPr>
          <w:rFonts w:ascii="Times New Roman" w:eastAsia="仿宋"/>
          <w:color w:val="auto"/>
          <w:szCs w:val="32"/>
        </w:rPr>
        <w:t>泉州市政务服务中心（东海大厦）A幢442室（地址：泉州市丰泽区海星街100号）</w:t>
      </w:r>
      <w:r>
        <w:rPr>
          <w:rFonts w:ascii="Times New Roman" w:eastAsia="仿宋"/>
          <w:color w:val="auto"/>
          <w:sz w:val="30"/>
          <w:szCs w:val="30"/>
        </w:rPr>
        <w:t>。</w:t>
      </w:r>
    </w:p>
    <w:p>
      <w:pPr>
        <w:widowControl/>
        <w:spacing w:line="560" w:lineRule="exact"/>
        <w:ind w:firstLine="640" w:firstLineChars="200"/>
        <w:rPr>
          <w:rFonts w:ascii="Times New Roman" w:eastAsia="楷体"/>
          <w:color w:val="auto"/>
          <w:szCs w:val="32"/>
        </w:rPr>
      </w:pPr>
      <w:r>
        <w:rPr>
          <w:rFonts w:ascii="Times New Roman" w:eastAsia="楷体"/>
          <w:color w:val="auto"/>
          <w:szCs w:val="32"/>
        </w:rPr>
        <w:t>六、付款方式及期限</w:t>
      </w:r>
    </w:p>
    <w:p>
      <w:pPr>
        <w:spacing w:line="579" w:lineRule="exact"/>
        <w:ind w:firstLine="640" w:firstLineChars="200"/>
        <w:rPr>
          <w:rFonts w:ascii="Times New Roman" w:eastAsia="仿宋"/>
          <w:color w:val="auto"/>
          <w:szCs w:val="32"/>
        </w:rPr>
      </w:pPr>
      <w:bookmarkStart w:id="2" w:name="_Hlk25847200"/>
      <w:bookmarkStart w:id="3" w:name="_Hlk26171907"/>
      <w:r>
        <w:rPr>
          <w:rFonts w:ascii="Times New Roman" w:eastAsia="仿宋"/>
          <w:color w:val="auto"/>
          <w:szCs w:val="32"/>
        </w:rPr>
        <w:t>上述地块竞得人自竞得之日起30日内应缴交成交价总额50%的成交价款（竞买保证金转作受让地块的定金，抵作土地出让价款），余款自竞得之日起3个月内交清。</w:t>
      </w:r>
    </w:p>
    <w:p>
      <w:pPr>
        <w:spacing w:line="579" w:lineRule="exact"/>
        <w:ind w:firstLine="636" w:firstLineChars="199"/>
        <w:rPr>
          <w:rFonts w:ascii="Times New Roman" w:eastAsia="仿宋"/>
          <w:color w:val="auto"/>
          <w:szCs w:val="32"/>
        </w:rPr>
      </w:pPr>
      <w:r>
        <w:rPr>
          <w:rFonts w:ascii="Times New Roman" w:eastAsia="仿宋"/>
          <w:color w:val="auto"/>
          <w:szCs w:val="32"/>
        </w:rPr>
        <w:t>竞得人应当按时支付成交价款，不能按时支付成交价款的，自违约之日起，每日按迟延支付款项的1‰向出让人缴纳违约金。延期付款超过60日，经出让人催交后仍不能支付成交价款的，出让人有权解除合同并可请求违约赔偿，竞得人无权要求返还定金。</w:t>
      </w:r>
      <w:bookmarkEnd w:id="2"/>
    </w:p>
    <w:bookmarkEnd w:id="3"/>
    <w:p>
      <w:pPr>
        <w:widowControl/>
        <w:spacing w:line="560" w:lineRule="exact"/>
        <w:ind w:firstLine="640" w:firstLineChars="200"/>
        <w:rPr>
          <w:rFonts w:ascii="Times New Roman" w:eastAsia="楷体"/>
          <w:bCs/>
          <w:color w:val="auto"/>
          <w:sz w:val="30"/>
          <w:szCs w:val="30"/>
        </w:rPr>
      </w:pPr>
      <w:r>
        <w:rPr>
          <w:rFonts w:ascii="Times New Roman" w:eastAsia="楷体"/>
          <w:bCs/>
          <w:color w:val="auto"/>
          <w:szCs w:val="32"/>
        </w:rPr>
        <w:t>七、竞买人竞得土地后，拟成立新公司进行开发建设的，应在竞买申请书中明确公司的出资构成、成立时间等内容，按合同约定时间交清成交价款。新成立的公司应在国有建设用地使用权出让合同签订之日起90日内办理完成注册登记手续，由我局与新公司签订《国有建设用地使用权出让合同变更协议》。</w:t>
      </w:r>
    </w:p>
    <w:p>
      <w:pPr>
        <w:widowControl/>
        <w:spacing w:line="560" w:lineRule="exact"/>
        <w:ind w:firstLine="640" w:firstLineChars="200"/>
        <w:rPr>
          <w:rFonts w:ascii="Times New Roman" w:eastAsia="楷体"/>
          <w:bCs/>
          <w:color w:val="auto"/>
          <w:szCs w:val="32"/>
        </w:rPr>
      </w:pPr>
      <w:r>
        <w:rPr>
          <w:rFonts w:ascii="Times New Roman" w:eastAsia="楷体"/>
          <w:bCs/>
          <w:color w:val="auto"/>
          <w:szCs w:val="32"/>
        </w:rPr>
        <w:t>八、开工、竣工时间</w:t>
      </w:r>
    </w:p>
    <w:p>
      <w:pPr>
        <w:spacing w:line="579" w:lineRule="exact"/>
        <w:ind w:firstLine="636" w:firstLineChars="199"/>
        <w:rPr>
          <w:rFonts w:ascii="Times New Roman" w:eastAsia="仿宋"/>
          <w:color w:val="auto"/>
          <w:szCs w:val="32"/>
        </w:rPr>
      </w:pPr>
      <w:bookmarkStart w:id="4" w:name="_Hlk26172042"/>
      <w:r>
        <w:rPr>
          <w:rFonts w:ascii="Times New Roman" w:eastAsia="仿宋"/>
          <w:color w:val="auto"/>
          <w:szCs w:val="32"/>
        </w:rPr>
        <w:t>上述地块竞得人应在签订《国有建设用地使用权出让合同》之日起1年内开工，并在开工后3年内竣工。</w:t>
      </w:r>
    </w:p>
    <w:p>
      <w:pPr>
        <w:spacing w:line="579" w:lineRule="exact"/>
        <w:ind w:firstLine="636" w:firstLineChars="199"/>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79" w:lineRule="exact"/>
        <w:ind w:firstLine="660" w:firstLineChars="199"/>
        <w:rPr>
          <w:rFonts w:ascii="Times New Roman" w:eastAsia="仿宋"/>
          <w:color w:val="auto"/>
          <w:spacing w:val="6"/>
          <w:szCs w:val="32"/>
        </w:rPr>
      </w:pPr>
      <w:r>
        <w:rPr>
          <w:rFonts w:ascii="Times New Roman" w:eastAsia="仿宋"/>
          <w:color w:val="auto"/>
          <w:spacing w:val="6"/>
          <w:szCs w:val="32"/>
        </w:rPr>
        <w:t>竞得人造成土地闲置，按《闲置土地处置办法》有关规定执行。</w:t>
      </w:r>
      <w:bookmarkEnd w:id="4"/>
    </w:p>
    <w:p>
      <w:pPr>
        <w:pStyle w:val="3"/>
        <w:widowControl/>
        <w:spacing w:line="560" w:lineRule="exact"/>
        <w:rPr>
          <w:rFonts w:ascii="Times New Roman" w:eastAsia="楷体"/>
          <w:bCs/>
          <w:color w:val="auto"/>
          <w:szCs w:val="32"/>
        </w:rPr>
      </w:pPr>
      <w:r>
        <w:rPr>
          <w:rFonts w:ascii="Times New Roman" w:eastAsia="楷体"/>
          <w:bCs/>
          <w:color w:val="auto"/>
          <w:szCs w:val="32"/>
        </w:rPr>
        <w:t>九、本次国有建设用地使用权拍卖出让的详细资料和具体要求，详见本次拍卖文件。</w:t>
      </w:r>
    </w:p>
    <w:p>
      <w:pPr>
        <w:widowControl/>
        <w:spacing w:line="560" w:lineRule="exact"/>
        <w:ind w:firstLine="600"/>
        <w:rPr>
          <w:rFonts w:ascii="Times New Roman" w:eastAsia="楷体"/>
          <w:bCs/>
          <w:color w:val="auto"/>
          <w:szCs w:val="32"/>
        </w:rPr>
      </w:pPr>
      <w:r>
        <w:rPr>
          <w:rFonts w:ascii="Times New Roman" w:eastAsia="楷体"/>
          <w:bCs/>
          <w:color w:val="auto"/>
          <w:szCs w:val="32"/>
        </w:rPr>
        <w:t>十、注意事项</w:t>
      </w:r>
    </w:p>
    <w:p>
      <w:pPr>
        <w:widowControl/>
        <w:spacing w:line="560" w:lineRule="exact"/>
        <w:ind w:firstLine="600"/>
        <w:rPr>
          <w:rFonts w:ascii="Times New Roman" w:eastAsia="仿宋"/>
          <w:color w:val="auto"/>
          <w:szCs w:val="32"/>
        </w:rPr>
      </w:pPr>
      <w:r>
        <w:rPr>
          <w:rFonts w:ascii="Times New Roman" w:eastAsia="仿宋"/>
          <w:color w:val="auto"/>
          <w:szCs w:val="32"/>
        </w:rPr>
        <w:t>竞买人须全面阅读有关拍卖文件后再提出申请，申请一经受理确认后，即视为竞买人对拍卖文件及地块现状无异议并全部接受，并对有关承诺承担法律责任。如有疑问可以在拍卖活动开始日以前以书面或口头方式向</w:t>
      </w:r>
      <w:r>
        <w:rPr>
          <w:rFonts w:ascii="Times New Roman" w:eastAsia="仿宋"/>
          <w:color w:val="000000" w:themeColor="text1"/>
          <w:szCs w:val="32"/>
        </w:rPr>
        <w:t>泉州市产权交易中心有限公司</w:t>
      </w:r>
      <w:r>
        <w:rPr>
          <w:rFonts w:hint="eastAsia" w:ascii="Times New Roman" w:eastAsia="仿宋"/>
          <w:color w:val="auto"/>
          <w:szCs w:val="32"/>
        </w:rPr>
        <w:t>、我局</w:t>
      </w:r>
      <w:r>
        <w:rPr>
          <w:rFonts w:ascii="Times New Roman" w:eastAsia="仿宋"/>
          <w:color w:val="auto"/>
          <w:szCs w:val="32"/>
        </w:rPr>
        <w:t>自然资源利用管理科咨询，咨询电话：0595-22189025</w:t>
      </w:r>
      <w:r>
        <w:rPr>
          <w:rFonts w:hint="eastAsia" w:ascii="Times New Roman" w:eastAsia="仿宋"/>
          <w:color w:val="auto"/>
          <w:szCs w:val="32"/>
        </w:rPr>
        <w:t>、0595-</w:t>
      </w:r>
      <w:r>
        <w:rPr>
          <w:rFonts w:ascii="Times New Roman" w:eastAsia="仿宋"/>
          <w:color w:val="auto"/>
          <w:szCs w:val="32"/>
        </w:rPr>
        <w:t>22769392，传真：0595-22769915，网址：</w:t>
      </w:r>
      <w:r>
        <w:fldChar w:fldCharType="begin"/>
      </w:r>
      <w:r>
        <w:instrText xml:space="preserve"> HYPERLINK "http://www.qzgtj.gov.cn/" </w:instrText>
      </w:r>
      <w:r>
        <w:fldChar w:fldCharType="separate"/>
      </w:r>
      <w:r>
        <w:rPr>
          <w:rFonts w:ascii="Times New Roman" w:eastAsia="仿宋"/>
          <w:color w:val="auto"/>
          <w:szCs w:val="32"/>
        </w:rPr>
        <w:t>http://zyghj.quanzhou.gov.cn</w:t>
      </w:r>
      <w:r>
        <w:rPr>
          <w:rFonts w:ascii="Times New Roman" w:eastAsia="仿宋"/>
          <w:color w:val="auto"/>
          <w:szCs w:val="32"/>
        </w:rPr>
        <w:fldChar w:fldCharType="end"/>
      </w:r>
      <w:r>
        <w:rPr>
          <w:rFonts w:ascii="Times New Roman" w:eastAsia="仿宋"/>
          <w:color w:val="auto"/>
          <w:szCs w:val="32"/>
        </w:rPr>
        <w:t>。</w:t>
      </w:r>
      <w:bookmarkStart w:id="5" w:name="_GoBack"/>
      <w:bookmarkEnd w:id="5"/>
    </w:p>
    <w:p>
      <w:pPr>
        <w:widowControl/>
        <w:numPr>
          <w:ilvl w:val="0"/>
          <w:numId w:val="1"/>
        </w:numPr>
        <w:spacing w:line="560" w:lineRule="exact"/>
        <w:ind w:firstLine="600"/>
        <w:jc w:val="left"/>
        <w:rPr>
          <w:rFonts w:ascii="Times New Roman" w:eastAsia="楷体"/>
          <w:bCs/>
          <w:color w:val="auto"/>
          <w:szCs w:val="32"/>
        </w:rPr>
      </w:pPr>
      <w:r>
        <w:rPr>
          <w:rFonts w:ascii="Times New Roman" w:eastAsia="楷体"/>
          <w:bCs/>
          <w:color w:val="auto"/>
          <w:szCs w:val="32"/>
        </w:rPr>
        <w:t>我局对本《公告》有解释权。</w:t>
      </w:r>
    </w:p>
    <w:p>
      <w:pPr>
        <w:widowControl/>
        <w:spacing w:line="560" w:lineRule="exact"/>
        <w:jc w:val="left"/>
        <w:rPr>
          <w:rFonts w:ascii="Times New Roman" w:eastAsia="楷体"/>
          <w:bCs/>
          <w:color w:val="auto"/>
          <w:szCs w:val="32"/>
        </w:rPr>
      </w:pPr>
    </w:p>
    <w:p>
      <w:pPr>
        <w:widowControl/>
        <w:spacing w:line="560" w:lineRule="exact"/>
        <w:ind w:firstLine="9760" w:firstLineChars="3050"/>
        <w:jc w:val="left"/>
        <w:rPr>
          <w:rFonts w:ascii="Times New Roman" w:eastAsia="仿宋"/>
          <w:color w:val="auto"/>
          <w:szCs w:val="32"/>
        </w:rPr>
      </w:pPr>
      <w:r>
        <w:rPr>
          <w:rFonts w:ascii="Times New Roman" w:eastAsia="仿宋"/>
          <w:color w:val="auto"/>
          <w:szCs w:val="32"/>
        </w:rPr>
        <w:t>泉州市自然资源和规划局</w:t>
      </w:r>
    </w:p>
    <w:p>
      <w:pPr>
        <w:widowControl/>
        <w:spacing w:line="560" w:lineRule="exact"/>
        <w:ind w:firstLine="10240" w:firstLineChars="3200"/>
        <w:jc w:val="left"/>
        <w:rPr>
          <w:rFonts w:ascii="Times New Roman" w:eastAsia="仿宋"/>
          <w:color w:val="auto"/>
          <w:szCs w:val="32"/>
        </w:rPr>
      </w:pPr>
      <w:r>
        <w:rPr>
          <w:rFonts w:ascii="Times New Roman" w:eastAsia="仿宋"/>
          <w:color w:val="auto"/>
          <w:szCs w:val="32"/>
        </w:rPr>
        <w:t>2023年</w:t>
      </w:r>
      <w:r>
        <w:rPr>
          <w:rFonts w:hint="eastAsia" w:ascii="Times New Roman" w:eastAsia="仿宋"/>
          <w:color w:val="auto"/>
          <w:szCs w:val="32"/>
        </w:rPr>
        <w:t>6</w:t>
      </w:r>
      <w:r>
        <w:rPr>
          <w:rFonts w:ascii="Times New Roman" w:eastAsia="仿宋"/>
          <w:color w:val="auto"/>
          <w:szCs w:val="32"/>
        </w:rPr>
        <w:t>月</w:t>
      </w:r>
      <w:r>
        <w:rPr>
          <w:rFonts w:hint="eastAsia" w:ascii="Times New Roman" w:eastAsia="仿宋"/>
          <w:color w:val="auto"/>
          <w:szCs w:val="32"/>
        </w:rPr>
        <w:t>2</w:t>
      </w:r>
      <w:r>
        <w:rPr>
          <w:rFonts w:ascii="Times New Roman" w:eastAsia="仿宋"/>
          <w:color w:val="auto"/>
          <w:szCs w:val="32"/>
        </w:rPr>
        <w:t>8日</w:t>
      </w:r>
    </w:p>
    <w:sectPr>
      <w:headerReference r:id="rId3" w:type="default"/>
      <w:footerReference r:id="rId4" w:type="default"/>
      <w:footerReference r:id="rId5" w:type="even"/>
      <w:pgSz w:w="16838" w:h="11906" w:orient="landscape"/>
      <w:pgMar w:top="1361" w:right="1531" w:bottom="1134" w:left="153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0000000000000000000"/>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汉仪大宋简" w:eastAsia="汉仪大宋简"/>
      </w:rPr>
    </w:pPr>
    <w:r>
      <w:rPr>
        <w:rFonts w:hint="eastAsia" w:ascii="汉仪大宋简" w:eastAsia="汉仪大宋简"/>
      </w:rPr>
      <w:fldChar w:fldCharType="begin"/>
    </w:r>
    <w:r>
      <w:rPr>
        <w:rStyle w:val="9"/>
        <w:rFonts w:hint="eastAsia" w:ascii="汉仪大宋简" w:eastAsia="汉仪大宋简"/>
      </w:rPr>
      <w:instrText xml:space="preserve">PAGE  </w:instrText>
    </w:r>
    <w:r>
      <w:rPr>
        <w:rFonts w:hint="eastAsia" w:ascii="汉仪大宋简" w:eastAsia="汉仪大宋简"/>
      </w:rPr>
      <w:fldChar w:fldCharType="separate"/>
    </w:r>
    <w:r>
      <w:rPr>
        <w:rStyle w:val="9"/>
        <w:rFonts w:ascii="汉仪大宋简" w:eastAsia="汉仪大宋简"/>
      </w:rPr>
      <w:t>7</w:t>
    </w:r>
    <w:r>
      <w:rPr>
        <w:rFonts w:hint="eastAsia" w:ascii="汉仪大宋简" w:eastAsia="汉仪大宋简"/>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A5A8E"/>
    <w:multiLevelType w:val="singleLevel"/>
    <w:tmpl w:val="62EA5A8E"/>
    <w:lvl w:ilvl="0" w:tentative="0">
      <w:start w:val="1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06F3"/>
    <w:rsid w:val="00004223"/>
    <w:rsid w:val="0001011C"/>
    <w:rsid w:val="0003608A"/>
    <w:rsid w:val="00041936"/>
    <w:rsid w:val="000510CA"/>
    <w:rsid w:val="00057232"/>
    <w:rsid w:val="0005745D"/>
    <w:rsid w:val="000601E2"/>
    <w:rsid w:val="00064A9B"/>
    <w:rsid w:val="0006661F"/>
    <w:rsid w:val="00067536"/>
    <w:rsid w:val="000A17C6"/>
    <w:rsid w:val="000A24AF"/>
    <w:rsid w:val="000A7B0D"/>
    <w:rsid w:val="000C41BE"/>
    <w:rsid w:val="000C65E1"/>
    <w:rsid w:val="000D25F4"/>
    <w:rsid w:val="000D2CBF"/>
    <w:rsid w:val="000D31B0"/>
    <w:rsid w:val="000D6D5F"/>
    <w:rsid w:val="000E1158"/>
    <w:rsid w:val="000F4CB5"/>
    <w:rsid w:val="000F7C37"/>
    <w:rsid w:val="00101FF1"/>
    <w:rsid w:val="00107C03"/>
    <w:rsid w:val="001143CF"/>
    <w:rsid w:val="0011520D"/>
    <w:rsid w:val="00115DF0"/>
    <w:rsid w:val="00115E79"/>
    <w:rsid w:val="0012407B"/>
    <w:rsid w:val="00124646"/>
    <w:rsid w:val="001343BB"/>
    <w:rsid w:val="00136B5D"/>
    <w:rsid w:val="0014106A"/>
    <w:rsid w:val="00141B58"/>
    <w:rsid w:val="0014426F"/>
    <w:rsid w:val="00144E68"/>
    <w:rsid w:val="0014671B"/>
    <w:rsid w:val="00156E14"/>
    <w:rsid w:val="0016373E"/>
    <w:rsid w:val="001703C4"/>
    <w:rsid w:val="00174A9E"/>
    <w:rsid w:val="00176C6C"/>
    <w:rsid w:val="001848BF"/>
    <w:rsid w:val="00194131"/>
    <w:rsid w:val="00196722"/>
    <w:rsid w:val="001A1A64"/>
    <w:rsid w:val="001A2F65"/>
    <w:rsid w:val="001A4830"/>
    <w:rsid w:val="001A5458"/>
    <w:rsid w:val="001B26C1"/>
    <w:rsid w:val="001B2813"/>
    <w:rsid w:val="001B340D"/>
    <w:rsid w:val="001B6BA5"/>
    <w:rsid w:val="001C363F"/>
    <w:rsid w:val="001D0D71"/>
    <w:rsid w:val="001D7412"/>
    <w:rsid w:val="001E0097"/>
    <w:rsid w:val="001E55FE"/>
    <w:rsid w:val="001E6E9B"/>
    <w:rsid w:val="001E784C"/>
    <w:rsid w:val="001F38E8"/>
    <w:rsid w:val="001F4239"/>
    <w:rsid w:val="001F4CF5"/>
    <w:rsid w:val="001F7455"/>
    <w:rsid w:val="00200EBA"/>
    <w:rsid w:val="00202EEC"/>
    <w:rsid w:val="00203EAE"/>
    <w:rsid w:val="00211B55"/>
    <w:rsid w:val="002178FC"/>
    <w:rsid w:val="00217E8B"/>
    <w:rsid w:val="00217E91"/>
    <w:rsid w:val="00221337"/>
    <w:rsid w:val="00222EDB"/>
    <w:rsid w:val="00225D2D"/>
    <w:rsid w:val="002267EF"/>
    <w:rsid w:val="002406E3"/>
    <w:rsid w:val="00266688"/>
    <w:rsid w:val="00270475"/>
    <w:rsid w:val="00271710"/>
    <w:rsid w:val="00272D77"/>
    <w:rsid w:val="00274DB0"/>
    <w:rsid w:val="00284E46"/>
    <w:rsid w:val="00286C96"/>
    <w:rsid w:val="002A7C1C"/>
    <w:rsid w:val="002B665A"/>
    <w:rsid w:val="002C152A"/>
    <w:rsid w:val="002C28C7"/>
    <w:rsid w:val="002C32C5"/>
    <w:rsid w:val="002D79BA"/>
    <w:rsid w:val="002F6E3C"/>
    <w:rsid w:val="00300F7A"/>
    <w:rsid w:val="0030396B"/>
    <w:rsid w:val="00305CD1"/>
    <w:rsid w:val="00317DC0"/>
    <w:rsid w:val="00322E22"/>
    <w:rsid w:val="003355AD"/>
    <w:rsid w:val="003371DB"/>
    <w:rsid w:val="00342123"/>
    <w:rsid w:val="00342415"/>
    <w:rsid w:val="003518E0"/>
    <w:rsid w:val="0036755A"/>
    <w:rsid w:val="003705E4"/>
    <w:rsid w:val="00374BBC"/>
    <w:rsid w:val="00382245"/>
    <w:rsid w:val="00387347"/>
    <w:rsid w:val="00387FF7"/>
    <w:rsid w:val="00394C86"/>
    <w:rsid w:val="003951C4"/>
    <w:rsid w:val="00395A9E"/>
    <w:rsid w:val="003A0581"/>
    <w:rsid w:val="003A2564"/>
    <w:rsid w:val="003A312D"/>
    <w:rsid w:val="003A6FE5"/>
    <w:rsid w:val="003A70F9"/>
    <w:rsid w:val="003D3A2D"/>
    <w:rsid w:val="003D5A6A"/>
    <w:rsid w:val="003D6F39"/>
    <w:rsid w:val="003E6C80"/>
    <w:rsid w:val="003F5287"/>
    <w:rsid w:val="003F65B7"/>
    <w:rsid w:val="00400BDE"/>
    <w:rsid w:val="00400CB6"/>
    <w:rsid w:val="0040235C"/>
    <w:rsid w:val="004037A7"/>
    <w:rsid w:val="00404B55"/>
    <w:rsid w:val="00405986"/>
    <w:rsid w:val="00415312"/>
    <w:rsid w:val="00416345"/>
    <w:rsid w:val="00426EF8"/>
    <w:rsid w:val="00430114"/>
    <w:rsid w:val="004330B7"/>
    <w:rsid w:val="004410D4"/>
    <w:rsid w:val="00443FFA"/>
    <w:rsid w:val="004457D5"/>
    <w:rsid w:val="00446F55"/>
    <w:rsid w:val="00447E98"/>
    <w:rsid w:val="00450416"/>
    <w:rsid w:val="0045088D"/>
    <w:rsid w:val="00451D14"/>
    <w:rsid w:val="0045649A"/>
    <w:rsid w:val="00456DD2"/>
    <w:rsid w:val="00462B2A"/>
    <w:rsid w:val="004641DA"/>
    <w:rsid w:val="00474BFF"/>
    <w:rsid w:val="0047578F"/>
    <w:rsid w:val="0048135F"/>
    <w:rsid w:val="00481628"/>
    <w:rsid w:val="00483B05"/>
    <w:rsid w:val="00485349"/>
    <w:rsid w:val="00487377"/>
    <w:rsid w:val="00492DF7"/>
    <w:rsid w:val="00493D1D"/>
    <w:rsid w:val="00494180"/>
    <w:rsid w:val="004A3886"/>
    <w:rsid w:val="004A501D"/>
    <w:rsid w:val="004A65BC"/>
    <w:rsid w:val="004B4CFA"/>
    <w:rsid w:val="004C6CFB"/>
    <w:rsid w:val="004D3C75"/>
    <w:rsid w:val="004D6C0F"/>
    <w:rsid w:val="004E6AA7"/>
    <w:rsid w:val="004F095E"/>
    <w:rsid w:val="004F1570"/>
    <w:rsid w:val="004F2832"/>
    <w:rsid w:val="004F50CA"/>
    <w:rsid w:val="00506119"/>
    <w:rsid w:val="005107F5"/>
    <w:rsid w:val="0052681F"/>
    <w:rsid w:val="00550C08"/>
    <w:rsid w:val="00553725"/>
    <w:rsid w:val="00556070"/>
    <w:rsid w:val="00562186"/>
    <w:rsid w:val="00562C6E"/>
    <w:rsid w:val="00574C48"/>
    <w:rsid w:val="00577378"/>
    <w:rsid w:val="005810FC"/>
    <w:rsid w:val="0058197A"/>
    <w:rsid w:val="00582A60"/>
    <w:rsid w:val="00582D74"/>
    <w:rsid w:val="00584641"/>
    <w:rsid w:val="00591AAE"/>
    <w:rsid w:val="005939F3"/>
    <w:rsid w:val="005A4663"/>
    <w:rsid w:val="005B1EE2"/>
    <w:rsid w:val="005B7C00"/>
    <w:rsid w:val="005C1E11"/>
    <w:rsid w:val="005C1E35"/>
    <w:rsid w:val="005C23A5"/>
    <w:rsid w:val="005C6000"/>
    <w:rsid w:val="005C676D"/>
    <w:rsid w:val="005E05B3"/>
    <w:rsid w:val="005F2808"/>
    <w:rsid w:val="005F55A1"/>
    <w:rsid w:val="005F67CB"/>
    <w:rsid w:val="0060545F"/>
    <w:rsid w:val="00613F3E"/>
    <w:rsid w:val="00616609"/>
    <w:rsid w:val="0061745B"/>
    <w:rsid w:val="00624955"/>
    <w:rsid w:val="00631020"/>
    <w:rsid w:val="00637CB7"/>
    <w:rsid w:val="00655FA1"/>
    <w:rsid w:val="00656659"/>
    <w:rsid w:val="00660AED"/>
    <w:rsid w:val="00662558"/>
    <w:rsid w:val="00664CB0"/>
    <w:rsid w:val="0067137E"/>
    <w:rsid w:val="00676D49"/>
    <w:rsid w:val="006818FD"/>
    <w:rsid w:val="00684C5C"/>
    <w:rsid w:val="00690894"/>
    <w:rsid w:val="00694606"/>
    <w:rsid w:val="006A360A"/>
    <w:rsid w:val="006A60BE"/>
    <w:rsid w:val="006A718E"/>
    <w:rsid w:val="006B1CEA"/>
    <w:rsid w:val="006B3460"/>
    <w:rsid w:val="006B413D"/>
    <w:rsid w:val="006B4914"/>
    <w:rsid w:val="006B60B3"/>
    <w:rsid w:val="006B7301"/>
    <w:rsid w:val="006B7E25"/>
    <w:rsid w:val="006C609A"/>
    <w:rsid w:val="006D41DE"/>
    <w:rsid w:val="006D530A"/>
    <w:rsid w:val="006D7A17"/>
    <w:rsid w:val="006F2A65"/>
    <w:rsid w:val="0070032B"/>
    <w:rsid w:val="00700E51"/>
    <w:rsid w:val="00702477"/>
    <w:rsid w:val="00706FEA"/>
    <w:rsid w:val="00713F96"/>
    <w:rsid w:val="0072078D"/>
    <w:rsid w:val="00732FA9"/>
    <w:rsid w:val="00734329"/>
    <w:rsid w:val="007473DC"/>
    <w:rsid w:val="00750F27"/>
    <w:rsid w:val="0076147D"/>
    <w:rsid w:val="00762BE5"/>
    <w:rsid w:val="00772A44"/>
    <w:rsid w:val="00784D81"/>
    <w:rsid w:val="007869D5"/>
    <w:rsid w:val="007877DA"/>
    <w:rsid w:val="0079313A"/>
    <w:rsid w:val="0079414A"/>
    <w:rsid w:val="00794F81"/>
    <w:rsid w:val="007A35F4"/>
    <w:rsid w:val="007A59DE"/>
    <w:rsid w:val="007B0234"/>
    <w:rsid w:val="007C21BE"/>
    <w:rsid w:val="007C238A"/>
    <w:rsid w:val="007C5FFB"/>
    <w:rsid w:val="007F067F"/>
    <w:rsid w:val="007F3E8C"/>
    <w:rsid w:val="00803B79"/>
    <w:rsid w:val="00806BBB"/>
    <w:rsid w:val="0080741E"/>
    <w:rsid w:val="00807FFA"/>
    <w:rsid w:val="0081210F"/>
    <w:rsid w:val="00814855"/>
    <w:rsid w:val="00815B7E"/>
    <w:rsid w:val="008164DE"/>
    <w:rsid w:val="00820ED2"/>
    <w:rsid w:val="008225D0"/>
    <w:rsid w:val="00825323"/>
    <w:rsid w:val="00830090"/>
    <w:rsid w:val="00832909"/>
    <w:rsid w:val="00832E4F"/>
    <w:rsid w:val="00846F3F"/>
    <w:rsid w:val="00850901"/>
    <w:rsid w:val="00861123"/>
    <w:rsid w:val="0086519C"/>
    <w:rsid w:val="008654B7"/>
    <w:rsid w:val="008717D1"/>
    <w:rsid w:val="008751E0"/>
    <w:rsid w:val="008755F6"/>
    <w:rsid w:val="00875C06"/>
    <w:rsid w:val="0088096C"/>
    <w:rsid w:val="008814DE"/>
    <w:rsid w:val="008968A2"/>
    <w:rsid w:val="008A088E"/>
    <w:rsid w:val="008A3E3C"/>
    <w:rsid w:val="008A526C"/>
    <w:rsid w:val="008A590C"/>
    <w:rsid w:val="008A6114"/>
    <w:rsid w:val="008B39DD"/>
    <w:rsid w:val="008B7D6B"/>
    <w:rsid w:val="008C3A0A"/>
    <w:rsid w:val="008C5D0B"/>
    <w:rsid w:val="008C67CB"/>
    <w:rsid w:val="008C6DCF"/>
    <w:rsid w:val="008D2A10"/>
    <w:rsid w:val="008D3560"/>
    <w:rsid w:val="008D39DA"/>
    <w:rsid w:val="008D6281"/>
    <w:rsid w:val="008E0C1A"/>
    <w:rsid w:val="008E195D"/>
    <w:rsid w:val="009027F9"/>
    <w:rsid w:val="00905368"/>
    <w:rsid w:val="00910B6A"/>
    <w:rsid w:val="00911A8D"/>
    <w:rsid w:val="00914E3D"/>
    <w:rsid w:val="009252DF"/>
    <w:rsid w:val="00934973"/>
    <w:rsid w:val="00934C07"/>
    <w:rsid w:val="009451F9"/>
    <w:rsid w:val="0094651B"/>
    <w:rsid w:val="00946A03"/>
    <w:rsid w:val="0095479C"/>
    <w:rsid w:val="0096549F"/>
    <w:rsid w:val="00965DBB"/>
    <w:rsid w:val="00974B10"/>
    <w:rsid w:val="009753F4"/>
    <w:rsid w:val="00976126"/>
    <w:rsid w:val="00982146"/>
    <w:rsid w:val="00982C55"/>
    <w:rsid w:val="0098752D"/>
    <w:rsid w:val="00990516"/>
    <w:rsid w:val="009913BC"/>
    <w:rsid w:val="0099780D"/>
    <w:rsid w:val="009A0649"/>
    <w:rsid w:val="009A10EE"/>
    <w:rsid w:val="009A62A2"/>
    <w:rsid w:val="009B4EA5"/>
    <w:rsid w:val="009C4525"/>
    <w:rsid w:val="009C5D53"/>
    <w:rsid w:val="009E2C28"/>
    <w:rsid w:val="009F06F3"/>
    <w:rsid w:val="009F1B4B"/>
    <w:rsid w:val="009F2C87"/>
    <w:rsid w:val="009F404F"/>
    <w:rsid w:val="00A00F92"/>
    <w:rsid w:val="00A12605"/>
    <w:rsid w:val="00A1383D"/>
    <w:rsid w:val="00A13A6B"/>
    <w:rsid w:val="00A23B75"/>
    <w:rsid w:val="00A27656"/>
    <w:rsid w:val="00A30B8A"/>
    <w:rsid w:val="00A327CA"/>
    <w:rsid w:val="00A425DD"/>
    <w:rsid w:val="00A44EF3"/>
    <w:rsid w:val="00A514FD"/>
    <w:rsid w:val="00A518BF"/>
    <w:rsid w:val="00A524A8"/>
    <w:rsid w:val="00A539F0"/>
    <w:rsid w:val="00A5429A"/>
    <w:rsid w:val="00A57BFA"/>
    <w:rsid w:val="00A602EA"/>
    <w:rsid w:val="00A60581"/>
    <w:rsid w:val="00A7036C"/>
    <w:rsid w:val="00A82F35"/>
    <w:rsid w:val="00A91B92"/>
    <w:rsid w:val="00A93A2F"/>
    <w:rsid w:val="00A955E4"/>
    <w:rsid w:val="00A968FC"/>
    <w:rsid w:val="00AA1E9E"/>
    <w:rsid w:val="00AA694E"/>
    <w:rsid w:val="00AB335C"/>
    <w:rsid w:val="00AB5196"/>
    <w:rsid w:val="00AB5758"/>
    <w:rsid w:val="00AD1736"/>
    <w:rsid w:val="00AD74EE"/>
    <w:rsid w:val="00AE19D4"/>
    <w:rsid w:val="00AE40D2"/>
    <w:rsid w:val="00AE5FC5"/>
    <w:rsid w:val="00AF19B9"/>
    <w:rsid w:val="00AF2049"/>
    <w:rsid w:val="00AF5CC5"/>
    <w:rsid w:val="00AF7015"/>
    <w:rsid w:val="00AF7324"/>
    <w:rsid w:val="00B04DBD"/>
    <w:rsid w:val="00B11168"/>
    <w:rsid w:val="00B25706"/>
    <w:rsid w:val="00B26FCA"/>
    <w:rsid w:val="00B32372"/>
    <w:rsid w:val="00B37B2C"/>
    <w:rsid w:val="00B44245"/>
    <w:rsid w:val="00B5466D"/>
    <w:rsid w:val="00B6170D"/>
    <w:rsid w:val="00B63629"/>
    <w:rsid w:val="00B65490"/>
    <w:rsid w:val="00B734CB"/>
    <w:rsid w:val="00B73745"/>
    <w:rsid w:val="00B74411"/>
    <w:rsid w:val="00B744FC"/>
    <w:rsid w:val="00B75C2C"/>
    <w:rsid w:val="00B81843"/>
    <w:rsid w:val="00B81945"/>
    <w:rsid w:val="00B827CD"/>
    <w:rsid w:val="00B878B2"/>
    <w:rsid w:val="00B932E8"/>
    <w:rsid w:val="00BB1333"/>
    <w:rsid w:val="00BC497D"/>
    <w:rsid w:val="00BD6E1A"/>
    <w:rsid w:val="00BE4628"/>
    <w:rsid w:val="00BF0909"/>
    <w:rsid w:val="00BF17FD"/>
    <w:rsid w:val="00C001BF"/>
    <w:rsid w:val="00C00252"/>
    <w:rsid w:val="00C0641D"/>
    <w:rsid w:val="00C07833"/>
    <w:rsid w:val="00C15CDA"/>
    <w:rsid w:val="00C2086D"/>
    <w:rsid w:val="00C27BA5"/>
    <w:rsid w:val="00C3575A"/>
    <w:rsid w:val="00C36B5F"/>
    <w:rsid w:val="00C42855"/>
    <w:rsid w:val="00C42CD0"/>
    <w:rsid w:val="00C43AB6"/>
    <w:rsid w:val="00C45C6F"/>
    <w:rsid w:val="00C46373"/>
    <w:rsid w:val="00C569BB"/>
    <w:rsid w:val="00C57942"/>
    <w:rsid w:val="00C85102"/>
    <w:rsid w:val="00C90820"/>
    <w:rsid w:val="00C932E4"/>
    <w:rsid w:val="00C957E2"/>
    <w:rsid w:val="00C96A74"/>
    <w:rsid w:val="00C97977"/>
    <w:rsid w:val="00CA2459"/>
    <w:rsid w:val="00CA29C9"/>
    <w:rsid w:val="00CB395F"/>
    <w:rsid w:val="00CB3E74"/>
    <w:rsid w:val="00CB4F15"/>
    <w:rsid w:val="00CB6C7B"/>
    <w:rsid w:val="00CC3A4F"/>
    <w:rsid w:val="00CC6EA4"/>
    <w:rsid w:val="00CC791D"/>
    <w:rsid w:val="00CD11F0"/>
    <w:rsid w:val="00CF5825"/>
    <w:rsid w:val="00D52EFF"/>
    <w:rsid w:val="00D63392"/>
    <w:rsid w:val="00D65DF4"/>
    <w:rsid w:val="00D67747"/>
    <w:rsid w:val="00D70EC9"/>
    <w:rsid w:val="00D72A8B"/>
    <w:rsid w:val="00D72C93"/>
    <w:rsid w:val="00D76036"/>
    <w:rsid w:val="00D82D73"/>
    <w:rsid w:val="00D83848"/>
    <w:rsid w:val="00D83BA3"/>
    <w:rsid w:val="00D83FBA"/>
    <w:rsid w:val="00D90C14"/>
    <w:rsid w:val="00D919F2"/>
    <w:rsid w:val="00D924D2"/>
    <w:rsid w:val="00DA1D59"/>
    <w:rsid w:val="00DA28AF"/>
    <w:rsid w:val="00DA3645"/>
    <w:rsid w:val="00DA4994"/>
    <w:rsid w:val="00DA53A0"/>
    <w:rsid w:val="00DA6BE0"/>
    <w:rsid w:val="00DB514D"/>
    <w:rsid w:val="00DB6405"/>
    <w:rsid w:val="00DC3959"/>
    <w:rsid w:val="00DC50BC"/>
    <w:rsid w:val="00DD222D"/>
    <w:rsid w:val="00DD2D99"/>
    <w:rsid w:val="00DE13B3"/>
    <w:rsid w:val="00DF15FB"/>
    <w:rsid w:val="00DF7005"/>
    <w:rsid w:val="00DF774A"/>
    <w:rsid w:val="00DF7811"/>
    <w:rsid w:val="00E02F62"/>
    <w:rsid w:val="00E14B02"/>
    <w:rsid w:val="00E207BB"/>
    <w:rsid w:val="00E25942"/>
    <w:rsid w:val="00E325A8"/>
    <w:rsid w:val="00E32880"/>
    <w:rsid w:val="00E34A6E"/>
    <w:rsid w:val="00E36CBF"/>
    <w:rsid w:val="00E40410"/>
    <w:rsid w:val="00E4780E"/>
    <w:rsid w:val="00E504A5"/>
    <w:rsid w:val="00E57C2F"/>
    <w:rsid w:val="00E72AEB"/>
    <w:rsid w:val="00E74164"/>
    <w:rsid w:val="00E74177"/>
    <w:rsid w:val="00E82356"/>
    <w:rsid w:val="00E91F60"/>
    <w:rsid w:val="00E92591"/>
    <w:rsid w:val="00E93183"/>
    <w:rsid w:val="00E93379"/>
    <w:rsid w:val="00E94C7F"/>
    <w:rsid w:val="00EA2533"/>
    <w:rsid w:val="00EA54D8"/>
    <w:rsid w:val="00EA6DC4"/>
    <w:rsid w:val="00EC0651"/>
    <w:rsid w:val="00EC0E92"/>
    <w:rsid w:val="00ED3ADA"/>
    <w:rsid w:val="00EE7205"/>
    <w:rsid w:val="00EF1CD0"/>
    <w:rsid w:val="00EF5679"/>
    <w:rsid w:val="00F02C3B"/>
    <w:rsid w:val="00F03BE7"/>
    <w:rsid w:val="00F06239"/>
    <w:rsid w:val="00F07FF0"/>
    <w:rsid w:val="00F13827"/>
    <w:rsid w:val="00F17ECE"/>
    <w:rsid w:val="00F3533B"/>
    <w:rsid w:val="00F3687A"/>
    <w:rsid w:val="00F42D94"/>
    <w:rsid w:val="00F46B27"/>
    <w:rsid w:val="00F4756B"/>
    <w:rsid w:val="00F47CAD"/>
    <w:rsid w:val="00F62DBE"/>
    <w:rsid w:val="00F62F09"/>
    <w:rsid w:val="00F63A79"/>
    <w:rsid w:val="00F653E3"/>
    <w:rsid w:val="00F80A8E"/>
    <w:rsid w:val="00F837AD"/>
    <w:rsid w:val="00F92090"/>
    <w:rsid w:val="00F9425B"/>
    <w:rsid w:val="00FA1ED9"/>
    <w:rsid w:val="00FA6368"/>
    <w:rsid w:val="00FA7966"/>
    <w:rsid w:val="00FB1B80"/>
    <w:rsid w:val="00FB4BAC"/>
    <w:rsid w:val="00FB4DBD"/>
    <w:rsid w:val="00FB5A33"/>
    <w:rsid w:val="00FC0300"/>
    <w:rsid w:val="00FC3CC7"/>
    <w:rsid w:val="00FC4F13"/>
    <w:rsid w:val="00FC6C3D"/>
    <w:rsid w:val="00FD1A99"/>
    <w:rsid w:val="00FD454B"/>
    <w:rsid w:val="00FE6974"/>
    <w:rsid w:val="00FF0312"/>
    <w:rsid w:val="00FF5142"/>
    <w:rsid w:val="00FF5EB5"/>
    <w:rsid w:val="00FF65E4"/>
    <w:rsid w:val="00FF7B4C"/>
    <w:rsid w:val="01F425F4"/>
    <w:rsid w:val="03196C0B"/>
    <w:rsid w:val="0A5D3F8A"/>
    <w:rsid w:val="0FC72A45"/>
    <w:rsid w:val="13FFF794"/>
    <w:rsid w:val="14A7431C"/>
    <w:rsid w:val="183E0A52"/>
    <w:rsid w:val="190237B0"/>
    <w:rsid w:val="1BD1237D"/>
    <w:rsid w:val="1E863EB3"/>
    <w:rsid w:val="22430B11"/>
    <w:rsid w:val="250771D4"/>
    <w:rsid w:val="25E70D06"/>
    <w:rsid w:val="28562DBC"/>
    <w:rsid w:val="2A852BBF"/>
    <w:rsid w:val="2B95478C"/>
    <w:rsid w:val="2C1A398D"/>
    <w:rsid w:val="2CF93B59"/>
    <w:rsid w:val="2DB43119"/>
    <w:rsid w:val="2E2E01A5"/>
    <w:rsid w:val="2F13072D"/>
    <w:rsid w:val="2F202185"/>
    <w:rsid w:val="330246BF"/>
    <w:rsid w:val="336934DD"/>
    <w:rsid w:val="33975F4A"/>
    <w:rsid w:val="36506E5A"/>
    <w:rsid w:val="36E34814"/>
    <w:rsid w:val="38F24FC9"/>
    <w:rsid w:val="3AED1DD0"/>
    <w:rsid w:val="3D611B06"/>
    <w:rsid w:val="40117F25"/>
    <w:rsid w:val="40400AC2"/>
    <w:rsid w:val="40BB42ED"/>
    <w:rsid w:val="410E6620"/>
    <w:rsid w:val="418F6093"/>
    <w:rsid w:val="45EB788E"/>
    <w:rsid w:val="4B953C59"/>
    <w:rsid w:val="4DBD00E8"/>
    <w:rsid w:val="4F4546EC"/>
    <w:rsid w:val="4FFFE867"/>
    <w:rsid w:val="50920B89"/>
    <w:rsid w:val="541C7DAF"/>
    <w:rsid w:val="54ED44E0"/>
    <w:rsid w:val="55957278"/>
    <w:rsid w:val="568C7522"/>
    <w:rsid w:val="57A14BE2"/>
    <w:rsid w:val="57D46DFD"/>
    <w:rsid w:val="58155EA7"/>
    <w:rsid w:val="5B670C7C"/>
    <w:rsid w:val="5CC551D6"/>
    <w:rsid w:val="5D6B33CB"/>
    <w:rsid w:val="5ED4BC48"/>
    <w:rsid w:val="623A4432"/>
    <w:rsid w:val="62E20613"/>
    <w:rsid w:val="64CF563B"/>
    <w:rsid w:val="651D20BE"/>
    <w:rsid w:val="6A3D5848"/>
    <w:rsid w:val="6A974A0A"/>
    <w:rsid w:val="6B933A2F"/>
    <w:rsid w:val="6D81546E"/>
    <w:rsid w:val="6DEFC9D6"/>
    <w:rsid w:val="748F3322"/>
    <w:rsid w:val="7504000A"/>
    <w:rsid w:val="77676EAF"/>
    <w:rsid w:val="778D3603"/>
    <w:rsid w:val="77FF9D20"/>
    <w:rsid w:val="7A973278"/>
    <w:rsid w:val="7DFB45BF"/>
    <w:rsid w:val="7E9E4F48"/>
    <w:rsid w:val="7F1E0D19"/>
    <w:rsid w:val="97F18C72"/>
    <w:rsid w:val="B7FE5C80"/>
    <w:rsid w:val="BAF7520B"/>
    <w:rsid w:val="BFF90C75"/>
    <w:rsid w:val="D49E9F90"/>
    <w:rsid w:val="D77DBBC7"/>
    <w:rsid w:val="FBB95A7F"/>
    <w:rsid w:val="FBFFE116"/>
    <w:rsid w:val="FE8EE920"/>
    <w:rsid w:val="FFB668A1"/>
    <w:rsid w:val="FFFF23DD"/>
    <w:rsid w:val="FFFFC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00" w:lineRule="exact"/>
    </w:pPr>
    <w:rPr>
      <w:sz w:val="30"/>
    </w:rPr>
  </w:style>
  <w:style w:type="paragraph" w:styleId="3">
    <w:name w:val="Body Text Indent 2"/>
    <w:basedOn w:val="1"/>
    <w:qFormat/>
    <w:uiPriority w:val="0"/>
    <w:pPr>
      <w:ind w:firstLine="6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ahoma" w:hAnsi="Tahoma" w:eastAsia="宋体"/>
      <w:color w:val="auto"/>
      <w:kern w:val="2"/>
      <w:sz w:val="24"/>
    </w:rPr>
  </w:style>
  <w:style w:type="character" w:styleId="10">
    <w:name w:val="Hyperlink"/>
    <w:qFormat/>
    <w:uiPriority w:val="0"/>
    <w:rPr>
      <w:rFonts w:ascii="Tahoma" w:hAnsi="Tahoma" w:eastAsia="宋体"/>
      <w:color w:val="0000FF"/>
      <w:kern w:val="2"/>
      <w:sz w:val="24"/>
      <w:u w:val="single"/>
    </w:rPr>
  </w:style>
  <w:style w:type="paragraph" w:customStyle="1" w:styleId="11">
    <w:name w:val="Char Char"/>
    <w:basedOn w:val="1"/>
    <w:qFormat/>
    <w:uiPriority w:val="0"/>
    <w:rPr>
      <w:rFonts w:ascii="Times New Roman" w:eastAsia="宋体"/>
      <w:color w:val="auto"/>
      <w:kern w:val="2"/>
      <w:sz w:val="21"/>
      <w:szCs w:val="24"/>
    </w:rPr>
  </w:style>
  <w:style w:type="paragraph" w:customStyle="1" w:styleId="12">
    <w:name w:val="_Style 3"/>
    <w:basedOn w:val="1"/>
    <w:qFormat/>
    <w:uiPriority w:val="0"/>
  </w:style>
  <w:style w:type="paragraph" w:customStyle="1" w:styleId="13">
    <w:name w:val="Char Char8"/>
    <w:basedOn w:val="1"/>
    <w:qFormat/>
    <w:uiPriority w:val="0"/>
    <w:rPr>
      <w:rFonts w:ascii="Times New Roman" w:eastAsia="宋体"/>
      <w:color w:val="auto"/>
      <w:kern w:val="2"/>
      <w:sz w:val="21"/>
      <w:szCs w:val="24"/>
    </w:rPr>
  </w:style>
  <w:style w:type="paragraph" w:customStyle="1" w:styleId="14">
    <w:name w:val="Char"/>
    <w:basedOn w:val="1"/>
    <w:qFormat/>
    <w:uiPriority w:val="0"/>
    <w:rPr>
      <w:rFonts w:ascii="Tahoma" w:hAnsi="Tahoma" w:eastAsia="宋体"/>
      <w:color w:val="auto"/>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523</Words>
  <Characters>2985</Characters>
  <Lines>24</Lines>
  <Paragraphs>7</Paragraphs>
  <TotalTime>0</TotalTime>
  <ScaleCrop>false</ScaleCrop>
  <LinksUpToDate>false</LinksUpToDate>
  <CharactersWithSpaces>3501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2021-10-23T10:00:00Z</dcterms:created>
  <dc:creator>未羽</dc:creator>
  <cp:lastModifiedBy>市资源规划局</cp:lastModifiedBy>
  <cp:lastPrinted>2022-08-07T04:50:00Z</cp:lastPrinted>
  <dcterms:modified xsi:type="dcterms:W3CDTF">2023-06-27T09:16:03Z</dcterms:modified>
  <dc:title>国有建设用地使用权出让公告</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0879C76B156546598A18F8ADF628636B</vt:lpwstr>
  </property>
</Properties>
</file>