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rPr>
        <w:t>丰2023-16号等3宗</w:t>
      </w:r>
      <w:r>
        <w:rPr>
          <w:rFonts w:ascii="Times New Roman" w:eastAsia="方正小标宋简体"/>
          <w:bCs/>
          <w:color w:val="auto"/>
          <w:sz w:val="44"/>
          <w:szCs w:val="44"/>
        </w:rPr>
        <w:t>地块国有建设用地使用权拍卖出让须知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ascii="Times New Roman" w:eastAsia="仿宋"/>
          <w:color w:val="auto"/>
          <w:szCs w:val="32"/>
        </w:rPr>
      </w:pPr>
      <w:r>
        <w:rPr>
          <w:rFonts w:ascii="Times New Roman" w:eastAsia="仿宋"/>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eastAsia="仿宋"/>
          <w:color w:val="auto"/>
          <w:szCs w:val="32"/>
        </w:rPr>
        <w:t>丰2023-16号等3宗</w:t>
      </w:r>
      <w:r>
        <w:rPr>
          <w:rFonts w:ascii="Times New Roman" w:eastAsia="仿宋"/>
          <w:color w:val="auto"/>
          <w:szCs w:val="32"/>
        </w:rPr>
        <w:t>地块国有建设用地使用权。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者的确认。拍卖出让过程委托公证机构进行公证。泉州市产权交易中心有限公司指定的从事拍卖活动的人员为拍卖工作人员。</w:t>
      </w:r>
    </w:p>
    <w:p>
      <w:pPr>
        <w:spacing w:line="520" w:lineRule="exact"/>
        <w:ind w:firstLine="640" w:firstLineChars="200"/>
        <w:rPr>
          <w:rFonts w:ascii="Times New Roman" w:eastAsia="仿宋"/>
          <w:color w:val="auto"/>
          <w:szCs w:val="32"/>
        </w:rPr>
      </w:pPr>
      <w:r>
        <w:rPr>
          <w:rFonts w:ascii="Times New Roman" w:eastAsia="仿宋"/>
          <w:color w:val="auto"/>
          <w:szCs w:val="32"/>
        </w:rPr>
        <w:t>二、拍卖出让活动时间、地点</w:t>
      </w:r>
    </w:p>
    <w:p>
      <w:pPr>
        <w:spacing w:line="520" w:lineRule="exact"/>
        <w:ind w:firstLine="640" w:firstLineChars="200"/>
        <w:rPr>
          <w:rFonts w:ascii="Times New Roman" w:eastAsia="仿宋"/>
          <w:color w:val="auto"/>
          <w:szCs w:val="32"/>
        </w:rPr>
      </w:pPr>
      <w:r>
        <w:rPr>
          <w:rFonts w:ascii="Times New Roman" w:eastAsia="仿宋"/>
          <w:color w:val="auto"/>
          <w:szCs w:val="32"/>
        </w:rPr>
        <w:t>拍卖时间：202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10</w:t>
      </w:r>
      <w:r>
        <w:rPr>
          <w:rFonts w:ascii="Times New Roman" w:eastAsia="仿宋"/>
          <w:color w:val="auto"/>
          <w:szCs w:val="32"/>
        </w:rPr>
        <w:t>月</w:t>
      </w:r>
      <w:r>
        <w:rPr>
          <w:rFonts w:hint="eastAsia" w:ascii="Times New Roman" w:eastAsia="仿宋"/>
          <w:color w:val="auto"/>
          <w:szCs w:val="32"/>
          <w:lang w:val="en-US" w:eastAsia="zh-CN"/>
        </w:rPr>
        <w:t>31</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szCs w:val="32"/>
        </w:rPr>
        <w:t>：00。</w:t>
      </w:r>
    </w:p>
    <w:p>
      <w:pPr>
        <w:spacing w:line="520" w:lineRule="exact"/>
        <w:ind w:firstLine="640" w:firstLineChars="200"/>
        <w:rPr>
          <w:rFonts w:ascii="Times New Roman" w:eastAsia="仿宋"/>
          <w:color w:val="auto"/>
          <w:szCs w:val="32"/>
        </w:rPr>
      </w:pPr>
      <w:r>
        <w:rPr>
          <w:rFonts w:ascii="Times New Roman" w:eastAsia="仿宋"/>
          <w:color w:val="auto"/>
          <w:szCs w:val="32"/>
        </w:rPr>
        <w:t>拍卖地点：泉州市政务服务中心（东海大厦）A幢442室（地址：泉州市丰泽区海星街100号）。</w:t>
      </w:r>
    </w:p>
    <w:p>
      <w:pPr>
        <w:numPr>
          <w:ilvl w:val="0"/>
          <w:numId w:val="1"/>
        </w:numPr>
        <w:spacing w:line="520" w:lineRule="exact"/>
        <w:ind w:firstLine="640" w:firstLineChars="200"/>
        <w:rPr>
          <w:rFonts w:ascii="Times New Roman" w:eastAsia="仿宋"/>
          <w:color w:val="auto"/>
          <w:szCs w:val="32"/>
        </w:rPr>
      </w:pPr>
      <w:r>
        <w:rPr>
          <w:rFonts w:ascii="Times New Roman" w:eastAsia="仿宋"/>
          <w:color w:val="auto"/>
          <w:szCs w:val="32"/>
        </w:rPr>
        <w:t>本次国有建设用地使用权采用“限房价、限地价、摇号”方式拍卖出让，按照价高者得的原则确定竞得人，不设保留价；当拍卖溢价率达到15%时</w:t>
      </w:r>
      <w:r>
        <w:rPr>
          <w:rFonts w:hint="eastAsia" w:ascii="Times New Roman" w:eastAsia="仿宋"/>
          <w:color w:val="auto"/>
          <w:szCs w:val="32"/>
        </w:rPr>
        <w:t>（即丰2023-16号地块总价40020万元，平均楼面地价4659.79元/平方米；丰2023-25号地块总价100395万元，平均楼面地价16629.81元/平方米；丰2023-26号地块总价14490万元，平均楼面地价3210.64元/平方米）</w:t>
      </w:r>
      <w:r>
        <w:rPr>
          <w:rFonts w:ascii="Times New Roman" w:eastAsia="仿宋"/>
          <w:color w:val="auto"/>
          <w:szCs w:val="32"/>
        </w:rPr>
        <w:t>，采取熔断机制，不再接受更高报价，对于有意向的多个竞买人，当即现场采取摇号方式确定竞得人。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四、出让地块的基本情况、规划指标和相关要求：</w:t>
      </w:r>
    </w:p>
    <w:p>
      <w:pPr>
        <w:spacing w:line="520" w:lineRule="exact"/>
        <w:ind w:firstLine="640" w:firstLineChars="200"/>
        <w:rPr>
          <w:rFonts w:ascii="Times New Roman" w:eastAsia="仿宋"/>
          <w:color w:val="auto"/>
          <w:szCs w:val="32"/>
        </w:rPr>
      </w:pPr>
      <w:r>
        <w:rPr>
          <w:rFonts w:ascii="Times New Roman" w:eastAsia="仿宋"/>
          <w:color w:val="auto"/>
          <w:szCs w:val="32"/>
        </w:rPr>
        <w:t>（一）地块的基本情况</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1.丰2023-16号地块。该宗地即2022-32号储备用地（原2021-16、17号储备用地），位于丰泽区华大街道，北至南华路、西至毓才街、西南至宫口路、南至环山北路、东临南埔路，土地面积49743.5平方米（约合74.6亩），其中城镇道路用地2030.3平方米（不计入容积率等用地指标的计算基数）。规划用途为城镇住宅用地、城镇社区服务设施用地、商业用地、幼儿园用地及道路用地。主要技术指标为：容积率1.8以下1.0以上（12米宽规划道路北侧用地容积率1.2以下1.0以上、12米宽规划道路南侧用地容积率2.2以下1.0以上），建筑密度29%以下，绿地率30%以上，建筑高度南侧用地36米以下、北侧用地18米以下。用地内的12米宽规划道路北侧用地建设内容为生鲜超市、幼儿园、社区中心，用地内的12米宽规划道路南侧建设内容为住宅及商业等配套设施。其中南侧城镇住宅用地配套的商业计容建筑面积为1000平方米（误差不超过±50平方米）。</w:t>
      </w:r>
    </w:p>
    <w:p>
      <w:pPr>
        <w:widowControl/>
        <w:spacing w:line="520" w:lineRule="exact"/>
        <w:ind w:firstLine="600"/>
        <w:rPr>
          <w:rFonts w:hint="eastAsia" w:ascii="Times New Roman" w:eastAsia="仿宋"/>
          <w:color w:val="auto"/>
          <w:szCs w:val="32"/>
        </w:rPr>
      </w:pPr>
      <w:r>
        <w:rPr>
          <w:rFonts w:ascii="Times New Roman" w:eastAsia="仿宋"/>
          <w:color w:val="auto"/>
          <w:szCs w:val="32"/>
        </w:rPr>
        <w:t>2.</w:t>
      </w:r>
      <w:r>
        <w:rPr>
          <w:rFonts w:hint="eastAsia" w:ascii="Times New Roman" w:eastAsia="仿宋"/>
          <w:color w:val="auto"/>
          <w:szCs w:val="32"/>
        </w:rPr>
        <w:t>丰2023-25号地块。该宗地即2023-38号储备用地，位于丰泽区东海街道后埔片区，大兴路南侧、经七路东侧、后厝街北侧、经八路西侧，土地面积20123.49平方米（约合30.18亩）。规划用途为二类城镇住宅用地。主要技术指标为：容积率3.0以下1.0以上，建筑密度30%以下，绿地率30%以上，建筑高度80米以下。建设内容为商品住宅。</w:t>
      </w:r>
    </w:p>
    <w:p>
      <w:pPr>
        <w:widowControl/>
        <w:spacing w:line="520" w:lineRule="exact"/>
        <w:ind w:firstLine="600"/>
        <w:rPr>
          <w:rFonts w:hint="default" w:ascii="Times New Roman" w:eastAsia="仿宋"/>
          <w:color w:val="auto"/>
          <w:szCs w:val="32"/>
          <w:lang w:val="en-US" w:eastAsia="zh-CN"/>
        </w:rPr>
      </w:pPr>
      <w:r>
        <w:rPr>
          <w:rFonts w:hint="eastAsia" w:ascii="Times New Roman" w:eastAsia="仿宋"/>
          <w:color w:val="auto"/>
          <w:szCs w:val="32"/>
          <w:lang w:val="en-US" w:eastAsia="zh-CN"/>
        </w:rPr>
        <w:t>3.丰2023-26号地块。该宗地即2023-39号储备用地，位于丰泽区东海街道后埔片区，滨城大街南侧、经七路东侧、经八路西侧，土地面积14558.47平方米（约合21.83亩）。规划用途为二类城镇住宅用地。主要技术指标为：容积率3.1以下1.0以上，建筑密度30%以下，绿地率30%以上，建筑高度80米以下。建设内容为安置型商品房。</w:t>
      </w:r>
    </w:p>
    <w:p>
      <w:pPr>
        <w:widowControl/>
        <w:spacing w:line="520" w:lineRule="exact"/>
        <w:ind w:firstLine="600"/>
        <w:rPr>
          <w:rFonts w:ascii="Times New Roman" w:eastAsia="仿宋"/>
          <w:color w:val="auto"/>
          <w:szCs w:val="32"/>
        </w:rPr>
      </w:pPr>
      <w:r>
        <w:rPr>
          <w:rFonts w:ascii="Times New Roman" w:eastAsia="仿宋"/>
          <w:color w:val="auto"/>
          <w:szCs w:val="32"/>
        </w:rPr>
        <w:t>（二）规划指标和相关要求</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1.上述地块竞买申请人须具有房地产开发资质。</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2.丰2023-16号地块竞得人须按有关规范要求配套建设相应的公共配套服务设施，包括：独立占地社区卫生服务中心、居家养老服务站、幼儿园等设施[具体规划要求详见《泉州市自然资源和规划局关于下达2022-32号储备用地规划条件的通知》（泉资规〔2022〕152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3.丰2023</w:t>
      </w:r>
      <w:bookmarkStart w:id="2" w:name="_GoBack"/>
      <w:bookmarkEnd w:id="2"/>
      <w:r>
        <w:rPr>
          <w:rFonts w:hint="eastAsia" w:ascii="Times New Roman" w:eastAsia="仿宋"/>
          <w:color w:val="auto"/>
          <w:szCs w:val="32"/>
          <w:lang w:val="en-US" w:eastAsia="zh-CN"/>
        </w:rPr>
        <w:t>-16号地块用地红线范围内12米宽规划市政道路按控规线位和市政道路标准进行建设（道路等级为城市支路），且须与周边市政道路、市政管线等市政设施做好衔接和联通。道路建成后不得封闭管理，应作为城市公共配套设施对外开放并无偿移交政府相关部门管理。道路两侧地块的地下空间在不影响12米宽规划道路及周边市政设施建设的前提下可设置联通通道（不得设置停车位）。</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4.丰2023-25号地块竞得人须按有关规范要求配套建设相应的公共配套服务设施，包括：社区管理服务用房、居家养老服务点等设施[具体规划要求详见《泉州市自然资源和规划局关于下达2023-38号储备用地规划条件的通知》（泉资规〔2023〕216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5.丰2023-26号地块竞得人须按有关规范要求配套建设相应的公共配套服务设施，包括：社区管理服务站、社区卫生服务站、居家养老服务点等设施[具体规划要求详见《泉州市自然资源和规划局关于下达2023-39号储备用地规划条件的通知》（泉资规〔2023〕215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6.丰2023-16号地块竞得人应在与我局签订《国有建设用地使用权出让合同》之日起5个工作日内，与泉州市丰泽丰泉商务区开发建设有限公司签订回购协议。北侧地块回购40%商业计容建筑面积作为邻里中心，回购价格为4000元/平方米；南侧地块安置型商品房回购住宅面积40000平方米，回购价格为6203元/平方米，地下停车位回购价格按标准位15万元/位，车位需先预留不少于200个安置型商品房非人防车位供回购（根据实际需求结算回购个数），剩余的非人防地下室标准车位根据安置需求决定是否回购，并待完成全部安置回购后方可对外销售。</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7.丰2023-26号地块竞得人应在与我局签订《国有建设用地使用权出让合同》之日起5个工作日内，与泉州市东海投资管理有限公司签订该地块安置型商品房回购协议。住宅面积全部回购，回购价格为6716元/平方米，地下停车位回购价格按标准位16万元/位，车位需先预留不少于100个安置型商品房非人防车位供回购（根据实际需求结算回购个数），剩余的非人防地下室标准车位根据安置需求决定是否回购，并待完成全部安置回购后方可对外销售。</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8.丰2023-16号地块500米内规划建设有泉州五中华大分校、泉州师院附小华大分校，地块内配套的幼儿园拟办为丰泽区实验幼儿园华大园区。该地块商品房的业主直系子女可申请就读丰泽区第八中心小学、城东中学（初中）。具体招生事宜以当年的小学和初中招生工作实施意见为准。</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9.丰2023-25号、丰2023-26号地块500米内规划建设有一所完中校（拟办为市直学校）、和一所小学（拟办为市直学校）。该地块商品房的业主直系子女可申请就读泉州市临海小学、东海中学（初中），可参与泉州一中东海校区（初中）的电脑派位。具体招生事宜以当年的小学和初中招生工作实施意见为准。</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10.丰2023-16号地块配建幼儿园装修标准按室内不低于1600元/平方米、室外不低于1100元/平方米标准进行建设，且具体装修方案应与丰泽区教育局协商一致，经验收合格后再移交丰泽区教育局。</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11.丰2023-16号地块在北侧用地回购商业部分、南侧城镇住宅用地配套商业部分应建设集中商业，并进行整体经营，不可分割销售、不可分割转让。</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12.丰2023-16号、丰2023-25号、丰2023-26号地块由非泉州市丰泽区的法人竞得的，须在泉州市丰泽区注册成立新公司，所有税收应在当地缴纳。</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13.丰2023-16号、丰2023-25号地块竞得人应在竞买申请书中承诺，如竞得地块，在项目建设达到预售条件时，同意该项目商品房的预售价格受政府调控。其中丰2023-16号地块商品住宅部分最高销售均价为21800元/平方米（毛坯）；丰2023-25号地块用于建设改善型住房，单套房屋建筑面积不低于180平方米，销售价格在“限房价”[23000元/平方米（毛坯）]基础上上浮不超过30%，由竞得人自行销售。</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14.办理商品房预售许可（现售备案）时，丰2023-25号地块应优先提供10%可售商品房套数的房源作为高层次人才房源，丰2023-16号、丰2023-25号地块应优先提供20%可售商品房面积的房源用于房票方式购房，上述两种房源在同一时间公示、报名（3天）、选房，剩余的未选房源转为刚需房源、非刚需房源公开对外销售。</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15.丰2023-16号、丰2023-25号地块的可销售房源应全部按程序办理预售手续并向社会公开销售。严禁采取“以房抵债”、股东或特定全体垄断房源、办理自有产权等方式逃避公开销售，否则住建部门不予办理合同网签备案，产权登记部门不予办理产权。</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16.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17.按照《泉州市住房和城乡建设局等三部门关于加快推动新型建筑工业化发展的通知》（泉建规〔2022〕3号）要求，上述地块的装配式建筑应占新建建筑面积30%以上。</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18.按照《泉州市人民政府关于印发泉州市促进房地产市场持续健康稳定发展若干意见（2018—2025年）的通知》（泉政文〔2018〕87号）要求，上述地块的建筑单体质量要求达到泉州市优质工程及以上。</w:t>
      </w:r>
    </w:p>
    <w:p>
      <w:pPr>
        <w:widowControl/>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 xml:space="preserve">19.按照《泉州市人民政府办公室转发泉州市住房和城乡建设局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    </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五、竞买人资格</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对于出现同一企业及其控股的各个公司报名参与同一宗地竞买，该类竞买人的竞买资格将按照各竞买人提交完整报名材料的先后顺序确定。经审查，最先提交完整报名材料（按规定交纳竞买保证金且符合申请条件）的竞买人享有竞买资格；同时递交完整报名材料且确定符合申请条件的，以保证金交纳时间在前的确定享有竞买资格。最终确定享有竞买资格的竞买人将发给《竞买资格确认书》，确认书一经发出，其余竞买人均不享有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交纳竞买保证金的截止时间为202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10</w:t>
      </w:r>
      <w:r>
        <w:rPr>
          <w:rFonts w:ascii="Times New Roman" w:eastAsia="仿宋"/>
          <w:color w:val="auto"/>
          <w:szCs w:val="32"/>
        </w:rPr>
        <w:t>月</w:t>
      </w:r>
      <w:r>
        <w:rPr>
          <w:rFonts w:hint="eastAsia" w:ascii="Times New Roman" w:eastAsia="仿宋"/>
          <w:color w:val="auto"/>
          <w:szCs w:val="32"/>
          <w:lang w:val="en-US" w:eastAsia="zh-CN"/>
        </w:rPr>
        <w:t>30</w:t>
      </w:r>
      <w:r>
        <w:rPr>
          <w:rFonts w:ascii="Times New Roman" w:eastAsia="仿宋"/>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spacing w:line="520" w:lineRule="exact"/>
        <w:ind w:firstLine="640" w:firstLineChars="200"/>
        <w:rPr>
          <w:rFonts w:ascii="Times New Roman" w:eastAsia="仿宋"/>
          <w:color w:val="auto"/>
          <w:szCs w:val="32"/>
        </w:rPr>
      </w:pPr>
      <w:r>
        <w:rPr>
          <w:rFonts w:hint="eastAsia" w:ascii="Times New Roman" w:eastAsia="仿宋"/>
          <w:color w:val="auto"/>
          <w:szCs w:val="32"/>
          <w:lang w:eastAsia="zh-CN"/>
        </w:rPr>
        <w:t>丰</w:t>
      </w:r>
      <w:r>
        <w:rPr>
          <w:rFonts w:hint="eastAsia" w:ascii="Times New Roman" w:eastAsia="仿宋"/>
          <w:color w:val="auto"/>
          <w:szCs w:val="32"/>
        </w:rPr>
        <w:t>202</w:t>
      </w:r>
      <w:r>
        <w:rPr>
          <w:rFonts w:hint="eastAsia" w:ascii="Times New Roman" w:eastAsia="仿宋"/>
          <w:color w:val="auto"/>
          <w:szCs w:val="32"/>
          <w:lang w:val="en-US" w:eastAsia="zh-CN"/>
        </w:rPr>
        <w:t>3</w:t>
      </w:r>
      <w:r>
        <w:rPr>
          <w:rFonts w:hint="eastAsia" w:ascii="Times New Roman" w:eastAsia="仿宋"/>
          <w:color w:val="auto"/>
          <w:szCs w:val="32"/>
        </w:rPr>
        <w:t>-</w:t>
      </w:r>
      <w:r>
        <w:rPr>
          <w:rFonts w:hint="eastAsia" w:ascii="Times New Roman" w:eastAsia="仿宋"/>
          <w:color w:val="auto"/>
          <w:szCs w:val="32"/>
          <w:lang w:val="en-US" w:eastAsia="zh-CN"/>
        </w:rPr>
        <w:t>16</w:t>
      </w:r>
      <w:r>
        <w:rPr>
          <w:rFonts w:hint="eastAsia" w:ascii="Times New Roman" w:eastAsia="仿宋"/>
          <w:color w:val="auto"/>
          <w:szCs w:val="32"/>
        </w:rPr>
        <w:t>号</w:t>
      </w:r>
      <w:r>
        <w:rPr>
          <w:rFonts w:ascii="Times New Roman" w:eastAsia="仿宋"/>
          <w:color w:val="auto"/>
          <w:szCs w:val="32"/>
        </w:rPr>
        <w:t>地块的竞买保证金为人民币（大写）</w:t>
      </w:r>
      <w:r>
        <w:rPr>
          <w:rFonts w:hint="eastAsia" w:ascii="Times New Roman" w:eastAsia="仿宋"/>
          <w:color w:val="auto"/>
          <w:szCs w:val="32"/>
          <w:lang w:eastAsia="zh-CN"/>
        </w:rPr>
        <w:t>柒仟</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lang w:val="en-US" w:eastAsia="zh-CN"/>
        </w:rPr>
        <w:t>70</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w:t>
      </w:r>
      <w:r>
        <w:rPr>
          <w:rFonts w:hint="eastAsia" w:ascii="Times New Roman" w:eastAsia="仿宋"/>
          <w:color w:val="auto"/>
          <w:szCs w:val="32"/>
          <w:lang w:val="en-US" w:eastAsia="zh-CN"/>
        </w:rPr>
        <w:t>3</w:t>
      </w:r>
      <w:r>
        <w:rPr>
          <w:rFonts w:hint="eastAsia" w:ascii="Times New Roman" w:eastAsia="仿宋"/>
          <w:color w:val="auto"/>
          <w:szCs w:val="32"/>
        </w:rPr>
        <w:t>-</w:t>
      </w:r>
      <w:r>
        <w:rPr>
          <w:rFonts w:hint="eastAsia" w:ascii="Times New Roman" w:eastAsia="仿宋"/>
          <w:color w:val="auto"/>
          <w:szCs w:val="32"/>
          <w:lang w:val="en-US" w:eastAsia="zh-CN"/>
        </w:rPr>
        <w:t>25</w:t>
      </w:r>
      <w:r>
        <w:rPr>
          <w:rFonts w:hint="eastAsia" w:ascii="Times New Roman" w:eastAsia="仿宋"/>
          <w:color w:val="auto"/>
          <w:szCs w:val="32"/>
        </w:rPr>
        <w:t>号</w:t>
      </w:r>
      <w:r>
        <w:rPr>
          <w:rFonts w:ascii="Times New Roman" w:eastAsia="仿宋"/>
          <w:color w:val="auto"/>
          <w:szCs w:val="32"/>
        </w:rPr>
        <w:t>地块的竞买保证金为人民币（大写）</w:t>
      </w:r>
      <w:r>
        <w:rPr>
          <w:rFonts w:hint="eastAsia" w:ascii="Times New Roman" w:eastAsia="仿宋"/>
          <w:color w:val="auto"/>
          <w:szCs w:val="32"/>
          <w:lang w:eastAsia="zh-CN"/>
        </w:rPr>
        <w:t>壹亿柒仟伍佰</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lang w:val="en-US" w:eastAsia="zh-CN"/>
        </w:rPr>
        <w:t>175</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w:t>
      </w:r>
      <w:r>
        <w:rPr>
          <w:rFonts w:hint="eastAsia" w:ascii="Times New Roman" w:eastAsia="仿宋"/>
          <w:color w:val="auto"/>
          <w:szCs w:val="32"/>
          <w:lang w:val="en-US" w:eastAsia="zh-CN"/>
        </w:rPr>
        <w:t>3</w:t>
      </w:r>
      <w:r>
        <w:rPr>
          <w:rFonts w:hint="eastAsia" w:ascii="Times New Roman" w:eastAsia="仿宋"/>
          <w:color w:val="auto"/>
          <w:szCs w:val="32"/>
        </w:rPr>
        <w:t>-</w:t>
      </w:r>
      <w:r>
        <w:rPr>
          <w:rFonts w:hint="eastAsia" w:ascii="Times New Roman" w:eastAsia="仿宋"/>
          <w:color w:val="auto"/>
          <w:szCs w:val="32"/>
          <w:lang w:val="en-US" w:eastAsia="zh-CN"/>
        </w:rPr>
        <w:t>26</w:t>
      </w:r>
      <w:r>
        <w:rPr>
          <w:rFonts w:hint="eastAsia" w:ascii="Times New Roman" w:eastAsia="仿宋"/>
          <w:color w:val="auto"/>
          <w:szCs w:val="32"/>
        </w:rPr>
        <w:t>号</w:t>
      </w:r>
      <w:r>
        <w:rPr>
          <w:rFonts w:ascii="Times New Roman" w:eastAsia="仿宋"/>
          <w:color w:val="auto"/>
          <w:szCs w:val="32"/>
        </w:rPr>
        <w:t>地块的竞买保证金为人民币（大写）</w:t>
      </w:r>
      <w:r>
        <w:rPr>
          <w:rFonts w:hint="eastAsia" w:ascii="Times New Roman" w:eastAsia="仿宋"/>
          <w:color w:val="auto"/>
          <w:szCs w:val="32"/>
          <w:lang w:eastAsia="zh-CN"/>
        </w:rPr>
        <w:t>贰仟陆佰</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lang w:val="en-US" w:eastAsia="zh-CN"/>
        </w:rPr>
        <w:t>26</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ascii="Times New Roman" w:eastAsia="仿宋"/>
          <w:color w:val="auto"/>
          <w:szCs w:val="32"/>
        </w:rPr>
        <w:t>六、申请和资格审查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（一）拍卖出让文件索取</w:t>
      </w:r>
    </w:p>
    <w:p>
      <w:pPr>
        <w:spacing w:line="520" w:lineRule="exact"/>
        <w:ind w:firstLine="640" w:firstLineChars="200"/>
        <w:rPr>
          <w:rFonts w:ascii="Times New Roman" w:eastAsia="仿宋"/>
          <w:color w:val="auto"/>
          <w:szCs w:val="32"/>
        </w:rPr>
      </w:pPr>
      <w:r>
        <w:rPr>
          <w:rFonts w:ascii="Times New Roman" w:eastAsia="仿宋"/>
          <w:color w:val="auto"/>
          <w:szCs w:val="32"/>
        </w:rPr>
        <w:t>竞买人可于202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10</w:t>
      </w:r>
      <w:r>
        <w:rPr>
          <w:rFonts w:ascii="Times New Roman" w:eastAsia="仿宋"/>
          <w:color w:val="auto"/>
          <w:szCs w:val="32"/>
        </w:rPr>
        <w:t>月</w:t>
      </w:r>
      <w:r>
        <w:rPr>
          <w:rFonts w:hint="eastAsia" w:ascii="Times New Roman" w:eastAsia="仿宋"/>
          <w:color w:val="auto"/>
          <w:szCs w:val="32"/>
          <w:lang w:val="en-US" w:eastAsia="zh-CN"/>
        </w:rPr>
        <w:t>11</w:t>
      </w:r>
      <w:r>
        <w:rPr>
          <w:rFonts w:ascii="Times New Roman" w:eastAsia="仿宋"/>
          <w:color w:val="auto"/>
          <w:szCs w:val="32"/>
        </w:rPr>
        <w:t>日至202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10</w:t>
      </w:r>
      <w:r>
        <w:rPr>
          <w:rFonts w:ascii="Times New Roman" w:eastAsia="仿宋"/>
          <w:color w:val="auto"/>
          <w:szCs w:val="32"/>
        </w:rPr>
        <w:t>月</w:t>
      </w:r>
      <w:r>
        <w:rPr>
          <w:rFonts w:hint="eastAsia" w:ascii="Times New Roman" w:eastAsia="仿宋"/>
          <w:color w:val="auto"/>
          <w:szCs w:val="32"/>
          <w:lang w:val="en-US" w:eastAsia="zh-CN"/>
        </w:rPr>
        <w:t>30</w:t>
      </w:r>
      <w:r>
        <w:rPr>
          <w:rFonts w:ascii="Times New Roman" w:eastAsia="仿宋"/>
          <w:color w:val="auto"/>
          <w:szCs w:val="32"/>
        </w:rPr>
        <w:t>日，到泉州市丰泽区海星街100号东海大厦A幢市政务服务中心4楼450室购买索取本次拍卖出让文件，具体包括：</w:t>
      </w:r>
    </w:p>
    <w:p>
      <w:pPr>
        <w:spacing w:line="520" w:lineRule="exact"/>
        <w:ind w:firstLine="640" w:firstLineChars="200"/>
        <w:rPr>
          <w:rFonts w:ascii="Times New Roman" w:eastAsia="仿宋"/>
          <w:color w:val="auto"/>
          <w:szCs w:val="32"/>
        </w:rPr>
      </w:pPr>
      <w:r>
        <w:rPr>
          <w:rFonts w:ascii="Times New Roman" w:eastAsia="仿宋"/>
          <w:color w:val="auto"/>
          <w:szCs w:val="32"/>
        </w:rPr>
        <w:t>1</w:t>
      </w:r>
      <w:r>
        <w:rPr>
          <w:rFonts w:hint="eastAsia" w:ascii="Times New Roman" w:eastAsia="仿宋"/>
          <w:color w:val="auto"/>
          <w:szCs w:val="32"/>
          <w:lang w:val="en-US" w:eastAsia="zh-CN"/>
        </w:rPr>
        <w:t>.</w:t>
      </w:r>
      <w:r>
        <w:rPr>
          <w:rFonts w:ascii="Times New Roman" w:eastAsia="仿宋"/>
          <w:color w:val="auto"/>
          <w:szCs w:val="32"/>
        </w:rPr>
        <w:t>国有建设用地使用权出让公告(泉自然资告字〔202</w:t>
      </w:r>
      <w:r>
        <w:rPr>
          <w:rFonts w:hint="eastAsia" w:ascii="Times New Roman" w:eastAsia="仿宋"/>
          <w:color w:val="auto"/>
          <w:szCs w:val="32"/>
        </w:rPr>
        <w:t>3</w:t>
      </w:r>
      <w:r>
        <w:rPr>
          <w:rFonts w:ascii="Times New Roman" w:eastAsia="仿宋"/>
          <w:color w:val="auto"/>
          <w:szCs w:val="32"/>
        </w:rPr>
        <w:t>〕</w:t>
      </w:r>
      <w:r>
        <w:rPr>
          <w:rFonts w:hint="eastAsia" w:ascii="Times New Roman" w:eastAsia="仿宋"/>
          <w:color w:val="auto"/>
          <w:szCs w:val="32"/>
          <w:lang w:val="en-US" w:eastAsia="zh-CN"/>
        </w:rPr>
        <w:t>15</w:t>
      </w:r>
      <w:r>
        <w:rPr>
          <w:rFonts w:ascii="Times New Roman" w:eastAsia="仿宋"/>
          <w:color w:val="auto"/>
          <w:szCs w:val="32"/>
        </w:rPr>
        <w:t>号)</w:t>
      </w:r>
    </w:p>
    <w:p>
      <w:pPr>
        <w:spacing w:line="520" w:lineRule="exact"/>
        <w:ind w:firstLine="640" w:firstLineChars="200"/>
        <w:rPr>
          <w:rFonts w:ascii="Times New Roman" w:eastAsia="仿宋"/>
          <w:color w:val="auto"/>
          <w:szCs w:val="32"/>
        </w:rPr>
      </w:pPr>
      <w:r>
        <w:rPr>
          <w:rFonts w:ascii="Times New Roman" w:eastAsia="仿宋"/>
          <w:color w:val="auto"/>
          <w:szCs w:val="32"/>
        </w:rPr>
        <w:t>2</w:t>
      </w:r>
      <w:r>
        <w:rPr>
          <w:rFonts w:hint="eastAsia" w:ascii="Times New Roman" w:eastAsia="仿宋"/>
          <w:color w:val="auto"/>
          <w:szCs w:val="32"/>
          <w:lang w:val="en-US" w:eastAsia="zh-CN"/>
        </w:rPr>
        <w:t>.</w:t>
      </w:r>
      <w:r>
        <w:rPr>
          <w:rFonts w:ascii="Times New Roman" w:eastAsia="仿宋"/>
          <w:color w:val="auto"/>
          <w:szCs w:val="32"/>
        </w:rPr>
        <w:t>泉州市国有建设用地使用权拍卖出让须知</w:t>
      </w:r>
    </w:p>
    <w:p>
      <w:pPr>
        <w:spacing w:line="520" w:lineRule="exact"/>
        <w:ind w:firstLine="640" w:firstLineChars="200"/>
        <w:rPr>
          <w:rFonts w:ascii="Times New Roman" w:eastAsia="仿宋"/>
          <w:color w:val="auto"/>
          <w:szCs w:val="32"/>
        </w:rPr>
      </w:pPr>
      <w:r>
        <w:rPr>
          <w:rFonts w:ascii="Times New Roman" w:eastAsia="仿宋"/>
          <w:color w:val="auto"/>
          <w:szCs w:val="32"/>
        </w:rPr>
        <w:t>3</w:t>
      </w:r>
      <w:r>
        <w:rPr>
          <w:rFonts w:hint="eastAsia" w:ascii="Times New Roman" w:eastAsia="仿宋"/>
          <w:color w:val="auto"/>
          <w:szCs w:val="32"/>
          <w:lang w:val="en-US" w:eastAsia="zh-CN"/>
        </w:rPr>
        <w:t>.</w:t>
      </w:r>
      <w:r>
        <w:rPr>
          <w:rFonts w:ascii="Times New Roman" w:eastAsia="仿宋"/>
          <w:color w:val="auto"/>
          <w:szCs w:val="32"/>
        </w:rPr>
        <w:t>泉州市自然资源和规划局规划设计条件文件（复印件）</w:t>
      </w:r>
    </w:p>
    <w:p>
      <w:pPr>
        <w:spacing w:line="520" w:lineRule="exact"/>
        <w:ind w:firstLine="640" w:firstLineChars="200"/>
        <w:rPr>
          <w:rFonts w:ascii="Times New Roman" w:eastAsia="仿宋"/>
          <w:color w:val="auto"/>
          <w:szCs w:val="32"/>
        </w:rPr>
      </w:pPr>
      <w:r>
        <w:rPr>
          <w:rFonts w:ascii="Times New Roman" w:eastAsia="仿宋"/>
          <w:color w:val="auto"/>
          <w:szCs w:val="32"/>
        </w:rPr>
        <w:t>4</w:t>
      </w:r>
      <w:r>
        <w:rPr>
          <w:rFonts w:hint="eastAsia" w:ascii="Times New Roman" w:eastAsia="仿宋"/>
          <w:color w:val="auto"/>
          <w:szCs w:val="32"/>
          <w:lang w:val="en-US" w:eastAsia="zh-CN"/>
        </w:rPr>
        <w:t>.</w:t>
      </w:r>
      <w:r>
        <w:rPr>
          <w:rFonts w:ascii="Times New Roman" w:eastAsia="仿宋"/>
          <w:color w:val="auto"/>
          <w:szCs w:val="32"/>
        </w:rPr>
        <w:t>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5</w:t>
      </w:r>
      <w:r>
        <w:rPr>
          <w:rFonts w:hint="eastAsia" w:ascii="Times New Roman" w:eastAsia="仿宋"/>
          <w:color w:val="auto"/>
          <w:szCs w:val="32"/>
          <w:lang w:val="en-US" w:eastAsia="zh-CN"/>
        </w:rPr>
        <w:t>.</w:t>
      </w:r>
      <w:r>
        <w:rPr>
          <w:rFonts w:ascii="Times New Roman" w:eastAsia="仿宋"/>
          <w:color w:val="auto"/>
          <w:szCs w:val="32"/>
        </w:rPr>
        <w:t>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6</w:t>
      </w:r>
      <w:r>
        <w:rPr>
          <w:rFonts w:hint="eastAsia" w:ascii="Times New Roman" w:eastAsia="仿宋"/>
          <w:color w:val="auto"/>
          <w:szCs w:val="32"/>
          <w:lang w:val="en-US" w:eastAsia="zh-CN"/>
        </w:rPr>
        <w:t>.</w:t>
      </w:r>
      <w:r>
        <w:rPr>
          <w:rFonts w:ascii="Times New Roman" w:eastAsia="仿宋"/>
          <w:color w:val="auto"/>
          <w:szCs w:val="32"/>
        </w:rPr>
        <w:t>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7</w:t>
      </w:r>
      <w:r>
        <w:rPr>
          <w:rFonts w:hint="eastAsia" w:ascii="Times New Roman" w:eastAsia="仿宋"/>
          <w:color w:val="auto"/>
          <w:szCs w:val="32"/>
          <w:lang w:val="en-US" w:eastAsia="zh-CN"/>
        </w:rPr>
        <w:t>.</w:t>
      </w:r>
      <w:r>
        <w:rPr>
          <w:rFonts w:ascii="Times New Roman" w:eastAsia="仿宋"/>
          <w:color w:val="auto"/>
          <w:szCs w:val="32"/>
        </w:rPr>
        <w:t>授权委托书</w:t>
      </w:r>
    </w:p>
    <w:p>
      <w:pPr>
        <w:spacing w:line="520" w:lineRule="exact"/>
        <w:ind w:firstLine="640" w:firstLineChars="200"/>
        <w:rPr>
          <w:rFonts w:ascii="Times New Roman" w:eastAsia="仿宋"/>
          <w:color w:val="auto"/>
          <w:szCs w:val="32"/>
        </w:rPr>
      </w:pPr>
      <w:r>
        <w:rPr>
          <w:rFonts w:ascii="Times New Roman" w:eastAsia="仿宋"/>
          <w:color w:val="auto"/>
          <w:szCs w:val="32"/>
        </w:rPr>
        <w:t>8</w:t>
      </w:r>
      <w:r>
        <w:rPr>
          <w:rFonts w:hint="eastAsia" w:ascii="Times New Roman" w:eastAsia="仿宋"/>
          <w:color w:val="auto"/>
          <w:szCs w:val="32"/>
          <w:lang w:val="en-US" w:eastAsia="zh-CN"/>
        </w:rPr>
        <w:t>.</w:t>
      </w:r>
      <w:r>
        <w:rPr>
          <w:rFonts w:ascii="Times New Roman" w:eastAsia="仿宋"/>
          <w:color w:val="auto"/>
          <w:szCs w:val="32"/>
        </w:rPr>
        <w:t>竞买资格确认书（样本）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9</w:t>
      </w:r>
      <w:r>
        <w:rPr>
          <w:rFonts w:hint="eastAsia" w:ascii="Times New Roman" w:eastAsia="仿宋"/>
          <w:color w:val="auto"/>
          <w:szCs w:val="32"/>
          <w:lang w:val="en-US" w:eastAsia="zh-CN"/>
        </w:rPr>
        <w:t>.</w:t>
      </w:r>
      <w:r>
        <w:rPr>
          <w:rFonts w:ascii="Times New Roman" w:eastAsia="仿宋"/>
          <w:color w:val="auto"/>
          <w:szCs w:val="32"/>
        </w:rPr>
        <w:t>成交确认书（样本）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10</w:t>
      </w:r>
      <w:r>
        <w:rPr>
          <w:rFonts w:hint="eastAsia" w:ascii="Times New Roman" w:eastAsia="仿宋"/>
          <w:color w:val="auto"/>
          <w:szCs w:val="32"/>
          <w:lang w:val="en-US" w:eastAsia="zh-CN"/>
        </w:rPr>
        <w:t>.</w:t>
      </w:r>
      <w:r>
        <w:rPr>
          <w:rFonts w:ascii="Times New Roman" w:eastAsia="仿宋"/>
          <w:color w:val="auto"/>
          <w:szCs w:val="32"/>
        </w:rPr>
        <w:t>地块宗地图（复印件）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11</w:t>
      </w:r>
      <w:r>
        <w:rPr>
          <w:rFonts w:hint="eastAsia" w:ascii="Times New Roman" w:eastAsia="仿宋"/>
          <w:color w:val="auto"/>
          <w:szCs w:val="32"/>
          <w:lang w:val="en-US" w:eastAsia="zh-CN"/>
        </w:rPr>
        <w:t>.</w:t>
      </w:r>
      <w:r>
        <w:rPr>
          <w:rFonts w:ascii="Times New Roman" w:eastAsia="仿宋"/>
          <w:color w:val="auto"/>
          <w:szCs w:val="32"/>
        </w:rPr>
        <w:t>泉州市自然资源和规划局用地红线图（复印件）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12</w:t>
      </w:r>
      <w:r>
        <w:rPr>
          <w:rFonts w:hint="eastAsia" w:ascii="Times New Roman" w:eastAsia="仿宋"/>
          <w:color w:val="auto"/>
          <w:szCs w:val="32"/>
          <w:lang w:val="en-US" w:eastAsia="zh-CN"/>
        </w:rPr>
        <w:t>.</w:t>
      </w:r>
      <w:r>
        <w:rPr>
          <w:rFonts w:ascii="Times New Roman" w:eastAsia="仿宋"/>
          <w:color w:val="auto"/>
          <w:szCs w:val="32"/>
        </w:rPr>
        <w:t>《住宅用地竞买保证金/成交价款来源情况申报表》</w:t>
      </w:r>
    </w:p>
    <w:p>
      <w:pPr>
        <w:spacing w:line="520" w:lineRule="exact"/>
        <w:ind w:firstLine="640" w:firstLineChars="200"/>
        <w:rPr>
          <w:rFonts w:hint="default" w:ascii="Times New Roman" w:eastAsia="仿宋"/>
          <w:color w:val="auto"/>
          <w:szCs w:val="32"/>
          <w:lang w:val="en-US" w:eastAsia="zh-CN"/>
        </w:rPr>
      </w:pPr>
      <w:r>
        <w:rPr>
          <w:rFonts w:hint="eastAsia" w:ascii="Times New Roman" w:eastAsia="仿宋"/>
          <w:color w:val="auto"/>
          <w:szCs w:val="32"/>
          <w:lang w:val="en-US" w:eastAsia="zh-CN"/>
        </w:rPr>
        <w:t>13.地块回购协议</w:t>
      </w:r>
    </w:p>
    <w:p>
      <w:pPr>
        <w:spacing w:line="520" w:lineRule="exact"/>
        <w:ind w:firstLine="640" w:firstLineChars="200"/>
        <w:rPr>
          <w:rFonts w:ascii="Times New Roman" w:eastAsia="仿宋"/>
          <w:color w:val="auto"/>
          <w:szCs w:val="32"/>
        </w:rPr>
      </w:pPr>
      <w:r>
        <w:rPr>
          <w:rFonts w:ascii="Times New Roman" w:eastAsia="仿宋"/>
          <w:color w:val="auto"/>
          <w:szCs w:val="32"/>
        </w:rPr>
        <w:t>（二）提交申请</w:t>
      </w:r>
    </w:p>
    <w:p>
      <w:pPr>
        <w:spacing w:line="520" w:lineRule="exact"/>
        <w:ind w:firstLine="640" w:firstLineChars="200"/>
        <w:rPr>
          <w:rFonts w:ascii="Times New Roman" w:eastAsia="仿宋"/>
          <w:color w:val="auto"/>
          <w:szCs w:val="32"/>
        </w:rPr>
      </w:pPr>
      <w:r>
        <w:rPr>
          <w:rFonts w:ascii="Times New Roman" w:eastAsia="仿宋"/>
          <w:color w:val="auto"/>
          <w:szCs w:val="32"/>
        </w:rPr>
        <w:t>竞买人应于202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10</w:t>
      </w:r>
      <w:r>
        <w:rPr>
          <w:rFonts w:ascii="Times New Roman" w:eastAsia="仿宋"/>
          <w:color w:val="auto"/>
          <w:szCs w:val="32"/>
        </w:rPr>
        <w:t>月</w:t>
      </w:r>
      <w:r>
        <w:rPr>
          <w:rFonts w:hint="eastAsia" w:ascii="Times New Roman" w:eastAsia="仿宋"/>
          <w:color w:val="auto"/>
          <w:szCs w:val="32"/>
          <w:lang w:val="en-US" w:eastAsia="zh-CN"/>
        </w:rPr>
        <w:t>30</w:t>
      </w:r>
      <w:r>
        <w:rPr>
          <w:rFonts w:ascii="Times New Roman" w:eastAsia="仿宋"/>
          <w:color w:val="auto"/>
          <w:szCs w:val="32"/>
        </w:rPr>
        <w:t>日17时前，到泉州市丰泽区海星街100号东海大厦A幢市政务服务中心4楼450室提交书面申请（不接受邮寄、电子邮件及口头竞买报名），</w:t>
      </w:r>
      <w:r>
        <w:rPr>
          <w:rFonts w:ascii="Times New Roman" w:eastAsia="仿宋"/>
          <w:b/>
          <w:color w:val="auto"/>
          <w:szCs w:val="32"/>
        </w:rPr>
        <w:t>所有申请文件必须为正本一式二份。</w:t>
      </w:r>
      <w:r>
        <w:rPr>
          <w:rFonts w:ascii="Times New Roman" w:eastAsia="仿宋"/>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2．其他组织申请的，应提交下列文件：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3．境外申请人申请的，应提交下列文件：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ascii="Times New Roman" w:eastAsia="仿宋"/>
          <w:color w:val="auto"/>
          <w:szCs w:val="32"/>
        </w:rPr>
      </w:pPr>
      <w:r>
        <w:rPr>
          <w:rFonts w:ascii="Times New Roman" w:eastAsia="仿宋"/>
          <w:color w:val="auto"/>
          <w:szCs w:val="32"/>
        </w:rPr>
        <w:t>（三）资格审查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经审查，有下列情形之一的，为无效申请：</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1.竞买人不具备竞买资格的；</w:t>
      </w:r>
    </w:p>
    <w:p>
      <w:pPr>
        <w:spacing w:line="520" w:lineRule="exact"/>
        <w:ind w:firstLine="640" w:firstLineChars="200"/>
        <w:rPr>
          <w:rFonts w:ascii="Times New Roman" w:eastAsia="仿宋"/>
          <w:color w:val="auto"/>
          <w:szCs w:val="32"/>
        </w:rPr>
      </w:pPr>
      <w:r>
        <w:rPr>
          <w:rFonts w:ascii="Times New Roman" w:eastAsia="仿宋"/>
          <w:color w:val="auto"/>
          <w:szCs w:val="32"/>
        </w:rPr>
        <w:t>2.未按规定交纳竞买保证金的；</w:t>
      </w:r>
    </w:p>
    <w:p>
      <w:pPr>
        <w:spacing w:line="520" w:lineRule="exact"/>
        <w:ind w:firstLine="640" w:firstLineChars="200"/>
        <w:rPr>
          <w:rFonts w:ascii="Times New Roman" w:eastAsia="仿宋"/>
          <w:color w:val="auto"/>
          <w:szCs w:val="32"/>
        </w:rPr>
      </w:pPr>
      <w:r>
        <w:rPr>
          <w:rFonts w:ascii="Times New Roman" w:eastAsia="仿宋"/>
          <w:color w:val="auto"/>
          <w:szCs w:val="32"/>
        </w:rPr>
        <w:t>3.申请文件不齐全或不符合规定的；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4.委托他人代理，委托文件不齐全或不符合规定的；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5.竞买人违反《竞买承诺书》中约定的；</w:t>
      </w:r>
    </w:p>
    <w:p>
      <w:pPr>
        <w:spacing w:line="520" w:lineRule="exact"/>
        <w:ind w:firstLine="640" w:firstLineChars="200"/>
        <w:rPr>
          <w:rFonts w:ascii="Times New Roman" w:eastAsia="仿宋"/>
          <w:color w:val="auto"/>
          <w:szCs w:val="32"/>
        </w:rPr>
      </w:pPr>
      <w:r>
        <w:rPr>
          <w:rFonts w:ascii="Times New Roman" w:eastAsia="仿宋"/>
          <w:color w:val="auto"/>
          <w:szCs w:val="32"/>
        </w:rPr>
        <w:t>6.法律法规规定的其他情形。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（四）确认竞买人资格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ascii="Times New Roman" w:eastAsia="仿宋"/>
          <w:color w:val="auto"/>
          <w:szCs w:val="32"/>
        </w:rPr>
      </w:pPr>
      <w:r>
        <w:rPr>
          <w:rFonts w:ascii="Times New Roman" w:eastAsia="仿宋"/>
          <w:color w:val="auto"/>
          <w:szCs w:val="32"/>
        </w:rPr>
        <w:t>（五）答疑及现场踏勘</w:t>
      </w:r>
    </w:p>
    <w:p>
      <w:pPr>
        <w:spacing w:line="520" w:lineRule="exact"/>
        <w:ind w:firstLine="640" w:firstLineChars="200"/>
        <w:rPr>
          <w:rFonts w:ascii="Times New Roman" w:eastAsia="仿宋"/>
          <w:color w:val="auto"/>
          <w:szCs w:val="32"/>
        </w:rPr>
      </w:pPr>
      <w:r>
        <w:rPr>
          <w:rFonts w:ascii="Times New Roman" w:eastAsia="仿宋"/>
          <w:color w:val="auto"/>
          <w:szCs w:val="32"/>
        </w:rPr>
        <w:t>竞买人对拍卖出让文件有疑问的，可以在拍卖会开始前以书面或者口头方式向我局咨询。我局于202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10</w:t>
      </w:r>
      <w:r>
        <w:rPr>
          <w:rFonts w:ascii="Times New Roman" w:eastAsia="仿宋"/>
          <w:color w:val="auto"/>
          <w:szCs w:val="32"/>
        </w:rPr>
        <w:t>月</w:t>
      </w:r>
      <w:r>
        <w:rPr>
          <w:rFonts w:hint="eastAsia" w:ascii="Times New Roman" w:eastAsia="仿宋"/>
          <w:color w:val="auto"/>
          <w:szCs w:val="32"/>
          <w:lang w:val="en-US" w:eastAsia="zh-CN"/>
        </w:rPr>
        <w:t>12</w:t>
      </w:r>
      <w:r>
        <w:rPr>
          <w:rFonts w:ascii="Times New Roman" w:eastAsia="仿宋"/>
          <w:color w:val="auto"/>
          <w:szCs w:val="32"/>
        </w:rPr>
        <w:t>日至202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10</w:t>
      </w:r>
      <w:r>
        <w:rPr>
          <w:rFonts w:ascii="Times New Roman" w:eastAsia="仿宋"/>
          <w:color w:val="auto"/>
          <w:szCs w:val="32"/>
        </w:rPr>
        <w:t>月</w:t>
      </w:r>
      <w:r>
        <w:rPr>
          <w:rFonts w:hint="eastAsia" w:ascii="Times New Roman" w:eastAsia="仿宋"/>
          <w:color w:val="auto"/>
          <w:szCs w:val="32"/>
          <w:lang w:val="en-US" w:eastAsia="zh-CN"/>
        </w:rPr>
        <w:t>13</w:t>
      </w:r>
      <w:r>
        <w:rPr>
          <w:rFonts w:ascii="Times New Roman" w:eastAsia="仿宋"/>
          <w:color w:val="auto"/>
          <w:szCs w:val="32"/>
        </w:rPr>
        <w:t>日组织竞买人对拟出让地块进行现场踏勘。需由我局派员陪同实地踏勘的，请提前与我局联系（联系电话：0595－22769392）。</w:t>
      </w:r>
    </w:p>
    <w:p>
      <w:pPr>
        <w:spacing w:line="520" w:lineRule="exact"/>
        <w:ind w:firstLine="640" w:firstLineChars="200"/>
        <w:rPr>
          <w:rFonts w:ascii="Times New Roman" w:eastAsia="仿宋"/>
          <w:color w:val="auto"/>
          <w:szCs w:val="32"/>
        </w:rPr>
      </w:pPr>
      <w:r>
        <w:rPr>
          <w:rFonts w:ascii="Times New Roman" w:eastAsia="仿宋"/>
          <w:color w:val="auto"/>
          <w:szCs w:val="32"/>
        </w:rPr>
        <w:t>七、宗地的拍卖起叫价和增价幅度</w:t>
      </w:r>
    </w:p>
    <w:p>
      <w:pPr>
        <w:spacing w:line="520" w:lineRule="exact"/>
        <w:ind w:firstLine="640" w:firstLineChars="200"/>
        <w:rPr>
          <w:rFonts w:ascii="Times New Roman" w:eastAsia="仿宋"/>
          <w:color w:val="auto"/>
          <w:szCs w:val="32"/>
        </w:rPr>
      </w:pPr>
      <w:r>
        <w:rPr>
          <w:rFonts w:hint="eastAsia" w:ascii="Times New Roman" w:eastAsia="仿宋"/>
          <w:color w:val="auto"/>
          <w:szCs w:val="32"/>
          <w:lang w:eastAsia="zh-CN"/>
        </w:rPr>
        <w:t>丰</w:t>
      </w:r>
      <w:r>
        <w:rPr>
          <w:rFonts w:hint="eastAsia" w:ascii="Times New Roman" w:eastAsia="仿宋"/>
          <w:color w:val="auto"/>
          <w:szCs w:val="32"/>
        </w:rPr>
        <w:t>202</w:t>
      </w:r>
      <w:r>
        <w:rPr>
          <w:rFonts w:hint="eastAsia" w:ascii="Times New Roman" w:eastAsia="仿宋"/>
          <w:color w:val="auto"/>
          <w:szCs w:val="32"/>
          <w:lang w:val="en-US" w:eastAsia="zh-CN"/>
        </w:rPr>
        <w:t>3</w:t>
      </w:r>
      <w:r>
        <w:rPr>
          <w:rFonts w:hint="eastAsia" w:ascii="Times New Roman" w:eastAsia="仿宋"/>
          <w:color w:val="auto"/>
          <w:szCs w:val="32"/>
        </w:rPr>
        <w:t>-1</w:t>
      </w:r>
      <w:r>
        <w:rPr>
          <w:rFonts w:hint="eastAsia" w:ascii="Times New Roman" w:eastAsia="仿宋"/>
          <w:color w:val="auto"/>
          <w:szCs w:val="32"/>
          <w:lang w:val="en-US" w:eastAsia="zh-CN"/>
        </w:rPr>
        <w:t>6</w:t>
      </w:r>
      <w:r>
        <w:rPr>
          <w:rFonts w:ascii="Times New Roman" w:eastAsia="仿宋"/>
          <w:color w:val="auto"/>
          <w:szCs w:val="32"/>
        </w:rPr>
        <w:t>号地块，起叫价为人民币（大写）</w:t>
      </w:r>
      <w:r>
        <w:rPr>
          <w:rFonts w:hint="eastAsia" w:ascii="Times New Roman" w:eastAsia="仿宋"/>
          <w:color w:val="auto"/>
          <w:szCs w:val="32"/>
          <w:lang w:eastAsia="zh-CN"/>
        </w:rPr>
        <w:t>叁</w:t>
      </w:r>
      <w:r>
        <w:rPr>
          <w:rFonts w:hint="eastAsia" w:ascii="Times New Roman" w:eastAsia="仿宋"/>
          <w:color w:val="auto"/>
          <w:szCs w:val="32"/>
        </w:rPr>
        <w:t>亿</w:t>
      </w:r>
      <w:r>
        <w:rPr>
          <w:rFonts w:hint="eastAsia" w:ascii="Times New Roman" w:eastAsia="仿宋"/>
          <w:color w:val="auto"/>
          <w:szCs w:val="32"/>
          <w:lang w:eastAsia="zh-CN"/>
        </w:rPr>
        <w:t>肆</w:t>
      </w:r>
      <w:r>
        <w:rPr>
          <w:rFonts w:hint="eastAsia" w:ascii="Times New Roman" w:eastAsia="仿宋"/>
          <w:color w:val="auto"/>
          <w:szCs w:val="32"/>
        </w:rPr>
        <w:t>仟</w:t>
      </w:r>
      <w:r>
        <w:rPr>
          <w:rFonts w:hint="eastAsia" w:ascii="Times New Roman" w:eastAsia="仿宋"/>
          <w:color w:val="auto"/>
          <w:szCs w:val="32"/>
          <w:lang w:eastAsia="zh-CN"/>
        </w:rPr>
        <w:t>捌</w:t>
      </w:r>
      <w:r>
        <w:rPr>
          <w:rFonts w:hint="eastAsia" w:ascii="Times New Roman" w:eastAsia="仿宋"/>
          <w:color w:val="auto"/>
          <w:szCs w:val="32"/>
        </w:rPr>
        <w:t>佰万</w:t>
      </w:r>
      <w:r>
        <w:rPr>
          <w:rFonts w:ascii="Times New Roman" w:eastAsia="仿宋"/>
          <w:color w:val="auto"/>
          <w:szCs w:val="32"/>
        </w:rPr>
        <w:t>元整（￥</w:t>
      </w:r>
      <w:r>
        <w:rPr>
          <w:rFonts w:hint="eastAsia" w:ascii="Times New Roman" w:eastAsia="仿宋"/>
          <w:color w:val="auto"/>
          <w:szCs w:val="32"/>
          <w:lang w:val="en-US" w:eastAsia="zh-CN"/>
        </w:rPr>
        <w:t>348</w:t>
      </w:r>
      <w:r>
        <w:rPr>
          <w:rFonts w:hint="eastAsia" w:ascii="Times New Roman" w:eastAsia="仿宋"/>
          <w:color w:val="auto"/>
          <w:szCs w:val="32"/>
        </w:rPr>
        <w:t>,00</w:t>
      </w:r>
      <w:r>
        <w:rPr>
          <w:rFonts w:ascii="Times New Roman" w:eastAsia="仿宋"/>
          <w:color w:val="auto"/>
          <w:szCs w:val="32"/>
        </w:rPr>
        <w:t>0,000.00），增价幅度为人民币（大写）</w:t>
      </w:r>
      <w:r>
        <w:rPr>
          <w:rFonts w:hint="eastAsia" w:ascii="Times New Roman" w:eastAsia="仿宋"/>
          <w:color w:val="auto"/>
          <w:szCs w:val="32"/>
          <w:lang w:eastAsia="zh-CN"/>
        </w:rPr>
        <w:t>贰佰</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lang w:val="en-US" w:eastAsia="zh-CN"/>
        </w:rPr>
        <w:t>2</w:t>
      </w:r>
      <w:r>
        <w:rPr>
          <w:rFonts w:ascii="Times New Roman" w:eastAsia="仿宋"/>
          <w:color w:val="auto"/>
          <w:szCs w:val="32"/>
        </w:rPr>
        <w:t>,</w:t>
      </w:r>
      <w:r>
        <w:rPr>
          <w:rFonts w:hint="eastAsia" w:ascii="Times New Roman" w:eastAsia="仿宋"/>
          <w:color w:val="auto"/>
          <w:szCs w:val="32"/>
          <w:lang w:val="en-US" w:eastAsia="zh-CN"/>
        </w:rPr>
        <w:t>00</w:t>
      </w:r>
      <w:r>
        <w:rPr>
          <w:rFonts w:ascii="Times New Roman" w:eastAsia="仿宋"/>
          <w:color w:val="auto"/>
          <w:szCs w:val="32"/>
        </w:rPr>
        <w:t>0,000.00）</w:t>
      </w:r>
      <w:r>
        <w:rPr>
          <w:rFonts w:hint="eastAsia" w:ascii="Times New Roman" w:eastAsia="仿宋"/>
          <w:color w:val="auto"/>
          <w:szCs w:val="32"/>
        </w:rPr>
        <w:t>或</w:t>
      </w:r>
      <w:r>
        <w:rPr>
          <w:rFonts w:hint="eastAsia" w:ascii="Times New Roman" w:eastAsia="仿宋"/>
          <w:color w:val="auto"/>
          <w:szCs w:val="32"/>
          <w:lang w:val="en-US" w:eastAsia="zh-CN"/>
        </w:rPr>
        <w:t>200</w:t>
      </w:r>
      <w:r>
        <w:rPr>
          <w:rFonts w:hint="eastAsia" w:ascii="Times New Roman" w:eastAsia="仿宋"/>
          <w:color w:val="auto"/>
          <w:szCs w:val="32"/>
        </w:rPr>
        <w:t>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w:t>
      </w:r>
      <w:r>
        <w:rPr>
          <w:rFonts w:hint="eastAsia" w:ascii="Times New Roman" w:eastAsia="仿宋"/>
          <w:color w:val="auto"/>
          <w:szCs w:val="32"/>
          <w:lang w:val="en-US" w:eastAsia="zh-CN"/>
        </w:rPr>
        <w:t>25</w:t>
      </w:r>
      <w:r>
        <w:rPr>
          <w:rFonts w:ascii="Times New Roman" w:eastAsia="仿宋"/>
          <w:color w:val="auto"/>
          <w:szCs w:val="32"/>
        </w:rPr>
        <w:t>号地块，起叫价为人民币（大写）</w:t>
      </w:r>
      <w:r>
        <w:rPr>
          <w:rFonts w:hint="eastAsia" w:ascii="Times New Roman" w:eastAsia="仿宋"/>
          <w:color w:val="auto"/>
          <w:szCs w:val="32"/>
          <w:lang w:eastAsia="zh-CN"/>
        </w:rPr>
        <w:t>捌</w:t>
      </w:r>
      <w:r>
        <w:rPr>
          <w:rFonts w:hint="eastAsia" w:ascii="Times New Roman" w:eastAsia="仿宋"/>
          <w:color w:val="auto"/>
          <w:szCs w:val="32"/>
        </w:rPr>
        <w:t>亿</w:t>
      </w:r>
      <w:r>
        <w:rPr>
          <w:rFonts w:hint="eastAsia" w:ascii="Times New Roman" w:eastAsia="仿宋"/>
          <w:color w:val="auto"/>
          <w:szCs w:val="32"/>
          <w:lang w:eastAsia="zh-CN"/>
        </w:rPr>
        <w:t>柒仟叁</w:t>
      </w:r>
      <w:r>
        <w:rPr>
          <w:rFonts w:hint="eastAsia" w:ascii="Times New Roman" w:eastAsia="仿宋"/>
          <w:color w:val="auto"/>
          <w:szCs w:val="32"/>
        </w:rPr>
        <w:t>佰万</w:t>
      </w:r>
      <w:r>
        <w:rPr>
          <w:rFonts w:ascii="Times New Roman" w:eastAsia="仿宋"/>
          <w:color w:val="auto"/>
          <w:szCs w:val="32"/>
        </w:rPr>
        <w:t>元整（￥</w:t>
      </w:r>
      <w:r>
        <w:rPr>
          <w:rFonts w:hint="eastAsia" w:ascii="Times New Roman" w:eastAsia="仿宋"/>
          <w:color w:val="auto"/>
          <w:szCs w:val="32"/>
          <w:lang w:val="en-US" w:eastAsia="zh-CN"/>
        </w:rPr>
        <w:t>873</w:t>
      </w:r>
      <w:r>
        <w:rPr>
          <w:rFonts w:hint="eastAsia" w:ascii="Times New Roman" w:eastAsia="仿宋"/>
          <w:color w:val="auto"/>
          <w:szCs w:val="32"/>
        </w:rPr>
        <w:t>,00</w:t>
      </w:r>
      <w:r>
        <w:rPr>
          <w:rFonts w:ascii="Times New Roman" w:eastAsia="仿宋"/>
          <w:color w:val="auto"/>
          <w:szCs w:val="32"/>
        </w:rPr>
        <w:t>0,000.00），增价幅度为人民币（大写）</w:t>
      </w:r>
      <w:r>
        <w:rPr>
          <w:rFonts w:hint="eastAsia" w:ascii="Times New Roman" w:eastAsia="仿宋"/>
          <w:color w:val="auto"/>
          <w:szCs w:val="32"/>
          <w:lang w:eastAsia="zh-CN"/>
        </w:rPr>
        <w:t>叁佰</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lang w:val="en-US" w:eastAsia="zh-CN"/>
        </w:rPr>
        <w:t>3</w:t>
      </w:r>
      <w:r>
        <w:rPr>
          <w:rFonts w:ascii="Times New Roman" w:eastAsia="仿宋"/>
          <w:color w:val="auto"/>
          <w:szCs w:val="32"/>
        </w:rPr>
        <w:t>,</w:t>
      </w:r>
      <w:r>
        <w:rPr>
          <w:rFonts w:hint="eastAsia" w:ascii="Times New Roman" w:eastAsia="仿宋"/>
          <w:color w:val="auto"/>
          <w:szCs w:val="32"/>
          <w:lang w:val="en-US" w:eastAsia="zh-CN"/>
        </w:rPr>
        <w:t>00</w:t>
      </w:r>
      <w:r>
        <w:rPr>
          <w:rFonts w:ascii="Times New Roman" w:eastAsia="仿宋"/>
          <w:color w:val="auto"/>
          <w:szCs w:val="32"/>
        </w:rPr>
        <w:t>0,000.00）</w:t>
      </w:r>
      <w:r>
        <w:rPr>
          <w:rFonts w:hint="eastAsia" w:ascii="Times New Roman" w:eastAsia="仿宋"/>
          <w:color w:val="auto"/>
          <w:szCs w:val="32"/>
        </w:rPr>
        <w:t>或</w:t>
      </w:r>
      <w:r>
        <w:rPr>
          <w:rFonts w:hint="eastAsia" w:ascii="Times New Roman" w:eastAsia="仿宋"/>
          <w:color w:val="auto"/>
          <w:szCs w:val="32"/>
          <w:lang w:val="en-US" w:eastAsia="zh-CN"/>
        </w:rPr>
        <w:t>300</w:t>
      </w:r>
      <w:r>
        <w:rPr>
          <w:rFonts w:hint="eastAsia" w:ascii="Times New Roman" w:eastAsia="仿宋"/>
          <w:color w:val="auto"/>
          <w:szCs w:val="32"/>
        </w:rPr>
        <w:t>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w:t>
      </w:r>
      <w:r>
        <w:rPr>
          <w:rFonts w:hint="eastAsia" w:ascii="Times New Roman" w:eastAsia="仿宋"/>
          <w:color w:val="auto"/>
          <w:szCs w:val="32"/>
          <w:lang w:val="en-US" w:eastAsia="zh-CN"/>
        </w:rPr>
        <w:t>26</w:t>
      </w:r>
      <w:r>
        <w:rPr>
          <w:rFonts w:ascii="Times New Roman" w:eastAsia="仿宋"/>
          <w:color w:val="auto"/>
          <w:szCs w:val="32"/>
        </w:rPr>
        <w:t>号地块，起叫价为人民币（大写）</w:t>
      </w:r>
      <w:r>
        <w:rPr>
          <w:rFonts w:hint="eastAsia" w:ascii="Times New Roman" w:eastAsia="仿宋"/>
          <w:color w:val="auto"/>
          <w:szCs w:val="32"/>
          <w:lang w:eastAsia="zh-CN"/>
        </w:rPr>
        <w:t>壹</w:t>
      </w:r>
      <w:r>
        <w:rPr>
          <w:rFonts w:hint="eastAsia" w:ascii="Times New Roman" w:eastAsia="仿宋"/>
          <w:color w:val="auto"/>
          <w:szCs w:val="32"/>
        </w:rPr>
        <w:t>亿</w:t>
      </w:r>
      <w:r>
        <w:rPr>
          <w:rFonts w:hint="eastAsia" w:ascii="Times New Roman" w:eastAsia="仿宋"/>
          <w:color w:val="auto"/>
          <w:szCs w:val="32"/>
          <w:lang w:eastAsia="zh-CN"/>
        </w:rPr>
        <w:t>贰仟陆</w:t>
      </w:r>
      <w:r>
        <w:rPr>
          <w:rFonts w:hint="eastAsia" w:ascii="Times New Roman" w:eastAsia="仿宋"/>
          <w:color w:val="auto"/>
          <w:szCs w:val="32"/>
        </w:rPr>
        <w:t>佰万</w:t>
      </w:r>
      <w:r>
        <w:rPr>
          <w:rFonts w:ascii="Times New Roman" w:eastAsia="仿宋"/>
          <w:color w:val="auto"/>
          <w:szCs w:val="32"/>
        </w:rPr>
        <w:t>元整（￥</w:t>
      </w:r>
      <w:r>
        <w:rPr>
          <w:rFonts w:hint="eastAsia" w:ascii="Times New Roman" w:eastAsia="仿宋"/>
          <w:color w:val="auto"/>
          <w:szCs w:val="32"/>
          <w:lang w:val="en-US" w:eastAsia="zh-CN"/>
        </w:rPr>
        <w:t>126</w:t>
      </w:r>
      <w:r>
        <w:rPr>
          <w:rFonts w:hint="eastAsia" w:ascii="Times New Roman" w:eastAsia="仿宋"/>
          <w:color w:val="auto"/>
          <w:szCs w:val="32"/>
        </w:rPr>
        <w:t>,00</w:t>
      </w:r>
      <w:r>
        <w:rPr>
          <w:rFonts w:ascii="Times New Roman" w:eastAsia="仿宋"/>
          <w:color w:val="auto"/>
          <w:szCs w:val="32"/>
        </w:rPr>
        <w:t>0,000.00），增价幅度为人民币（大写）</w:t>
      </w:r>
      <w:r>
        <w:rPr>
          <w:rFonts w:hint="eastAsia" w:ascii="Times New Roman" w:eastAsia="仿宋"/>
          <w:color w:val="auto"/>
          <w:szCs w:val="32"/>
          <w:lang w:eastAsia="zh-CN"/>
        </w:rPr>
        <w:t>壹佰</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lang w:val="en-US" w:eastAsia="zh-CN"/>
        </w:rPr>
        <w:t>1</w:t>
      </w:r>
      <w:r>
        <w:rPr>
          <w:rFonts w:ascii="Times New Roman" w:eastAsia="仿宋"/>
          <w:color w:val="auto"/>
          <w:szCs w:val="32"/>
        </w:rPr>
        <w:t>,</w:t>
      </w:r>
      <w:r>
        <w:rPr>
          <w:rFonts w:hint="eastAsia" w:ascii="Times New Roman" w:eastAsia="仿宋"/>
          <w:color w:val="auto"/>
          <w:szCs w:val="32"/>
          <w:lang w:val="en-US" w:eastAsia="zh-CN"/>
        </w:rPr>
        <w:t>00</w:t>
      </w:r>
      <w:r>
        <w:rPr>
          <w:rFonts w:ascii="Times New Roman" w:eastAsia="仿宋"/>
          <w:color w:val="auto"/>
          <w:szCs w:val="32"/>
        </w:rPr>
        <w:t>0,000.00）</w:t>
      </w:r>
      <w:r>
        <w:rPr>
          <w:rFonts w:hint="eastAsia" w:ascii="Times New Roman" w:eastAsia="仿宋"/>
          <w:color w:val="auto"/>
          <w:szCs w:val="32"/>
        </w:rPr>
        <w:t>或</w:t>
      </w:r>
      <w:r>
        <w:rPr>
          <w:rFonts w:hint="eastAsia" w:ascii="Times New Roman" w:eastAsia="仿宋"/>
          <w:color w:val="auto"/>
          <w:szCs w:val="32"/>
          <w:lang w:val="en-US" w:eastAsia="zh-CN"/>
        </w:rPr>
        <w:t>100</w:t>
      </w:r>
      <w:r>
        <w:rPr>
          <w:rFonts w:hint="eastAsia" w:ascii="Times New Roman" w:eastAsia="仿宋"/>
          <w:color w:val="auto"/>
          <w:szCs w:val="32"/>
        </w:rPr>
        <w:t>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八、拍卖程序</w:t>
      </w:r>
    </w:p>
    <w:p>
      <w:pPr>
        <w:spacing w:line="520" w:lineRule="exact"/>
        <w:ind w:firstLine="640" w:firstLineChars="200"/>
        <w:rPr>
          <w:rFonts w:ascii="Times New Roman" w:eastAsia="仿宋"/>
          <w:color w:val="auto"/>
          <w:szCs w:val="32"/>
        </w:rPr>
      </w:pPr>
      <w:r>
        <w:rPr>
          <w:rFonts w:ascii="Times New Roman" w:eastAsia="仿宋"/>
          <w:color w:val="auto"/>
          <w:szCs w:val="32"/>
        </w:rPr>
        <w:t>（一）拍卖会程序</w:t>
      </w:r>
    </w:p>
    <w:p>
      <w:pPr>
        <w:spacing w:line="520" w:lineRule="exact"/>
        <w:ind w:firstLine="640" w:firstLineChars="200"/>
        <w:rPr>
          <w:rFonts w:ascii="Times New Roman" w:eastAsia="仿宋"/>
          <w:color w:val="auto"/>
          <w:szCs w:val="32"/>
        </w:rPr>
      </w:pPr>
      <w:r>
        <w:rPr>
          <w:rFonts w:ascii="Times New Roman" w:eastAsia="仿宋"/>
          <w:color w:val="auto"/>
          <w:szCs w:val="32"/>
        </w:rPr>
        <w:t>1．拍卖主持人宣布拍卖会开始。</w:t>
      </w:r>
    </w:p>
    <w:p>
      <w:pPr>
        <w:spacing w:line="520" w:lineRule="exact"/>
        <w:ind w:firstLine="640" w:firstLineChars="200"/>
        <w:rPr>
          <w:rFonts w:ascii="Times New Roman" w:eastAsia="仿宋"/>
          <w:color w:val="auto"/>
          <w:szCs w:val="32"/>
        </w:rPr>
      </w:pPr>
      <w:r>
        <w:rPr>
          <w:rFonts w:ascii="Times New Roman" w:eastAsia="仿宋"/>
          <w:color w:val="auto"/>
          <w:szCs w:val="32"/>
        </w:rPr>
        <w:t>2．拍卖主持人、记录员、公证员就位。</w:t>
      </w:r>
    </w:p>
    <w:p>
      <w:pPr>
        <w:spacing w:line="520" w:lineRule="exact"/>
        <w:ind w:firstLine="640" w:firstLineChars="200"/>
        <w:rPr>
          <w:rFonts w:ascii="Times New Roman" w:eastAsia="仿宋"/>
          <w:color w:val="auto"/>
          <w:szCs w:val="32"/>
        </w:rPr>
      </w:pPr>
      <w:r>
        <w:rPr>
          <w:rFonts w:ascii="Times New Roman" w:eastAsia="仿宋"/>
          <w:color w:val="auto"/>
          <w:szCs w:val="32"/>
        </w:rPr>
        <w:t>3．拍卖主持人点算竞买人。点到竞买号牌号码时，竞买人须举牌示意。拍卖主持人宣布竞买人到场情况。</w:t>
      </w:r>
    </w:p>
    <w:p>
      <w:pPr>
        <w:spacing w:line="520" w:lineRule="exact"/>
        <w:ind w:firstLine="640" w:firstLineChars="200"/>
        <w:rPr>
          <w:rFonts w:ascii="Times New Roman" w:eastAsia="仿宋"/>
          <w:color w:val="auto"/>
          <w:szCs w:val="32"/>
        </w:rPr>
      </w:pPr>
      <w:r>
        <w:rPr>
          <w:rFonts w:ascii="Times New Roman" w:eastAsia="仿宋"/>
          <w:color w:val="auto"/>
          <w:szCs w:val="32"/>
        </w:rPr>
        <w:t>4．拍卖主持人介绍拍卖地块的位置、面积、用途、使用年限、规划指标要求、建设时间等。</w:t>
      </w:r>
    </w:p>
    <w:p>
      <w:pPr>
        <w:spacing w:line="520" w:lineRule="exact"/>
        <w:ind w:firstLine="640" w:firstLineChars="200"/>
        <w:rPr>
          <w:rFonts w:ascii="Times New Roman" w:eastAsia="仿宋"/>
          <w:color w:val="auto"/>
          <w:szCs w:val="32"/>
        </w:rPr>
      </w:pPr>
      <w:r>
        <w:rPr>
          <w:rFonts w:ascii="Times New Roman" w:eastAsia="仿宋"/>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6．拍卖主持人报出起叫价，宣布竞价开始。</w:t>
      </w:r>
    </w:p>
    <w:p>
      <w:pPr>
        <w:spacing w:line="520" w:lineRule="exact"/>
        <w:ind w:firstLine="640" w:firstLineChars="200"/>
        <w:rPr>
          <w:rFonts w:ascii="Times New Roman" w:eastAsia="仿宋"/>
          <w:color w:val="auto"/>
          <w:szCs w:val="32"/>
        </w:rPr>
      </w:pPr>
      <w:r>
        <w:rPr>
          <w:rFonts w:ascii="Times New Roman" w:eastAsia="仿宋"/>
          <w:color w:val="auto"/>
          <w:szCs w:val="32"/>
        </w:rPr>
        <w:t>7．竞买人举牌应价或者报价。竞买人举牌报价，可以是主持人的叫价，也可以是叫价加上增价幅度的整数倍，或相应宗地的出让价格上限。竞买人报价时，手举的竞买号牌应高出头部。经主持人同意后，竞买人方可放下已经举起的竞买号牌。</w:t>
      </w:r>
    </w:p>
    <w:p>
      <w:pPr>
        <w:spacing w:line="520" w:lineRule="exact"/>
        <w:ind w:firstLine="640" w:firstLineChars="200"/>
        <w:rPr>
          <w:rFonts w:ascii="Times New Roman" w:eastAsia="仿宋"/>
          <w:color w:val="auto"/>
          <w:szCs w:val="32"/>
        </w:rPr>
      </w:pPr>
      <w:r>
        <w:rPr>
          <w:rFonts w:ascii="Times New Roman" w:eastAsia="仿宋"/>
          <w:color w:val="auto"/>
          <w:szCs w:val="32"/>
        </w:rPr>
        <w:t>8．拍卖主持人确认该竞买人应价或者报价后继续竞价。</w:t>
      </w:r>
    </w:p>
    <w:p>
      <w:pPr>
        <w:spacing w:line="520" w:lineRule="exact"/>
        <w:ind w:firstLine="640" w:firstLineChars="200"/>
        <w:rPr>
          <w:rFonts w:ascii="Times New Roman" w:eastAsia="仿宋"/>
          <w:color w:val="auto"/>
          <w:szCs w:val="32"/>
        </w:rPr>
      </w:pPr>
      <w:r>
        <w:rPr>
          <w:rFonts w:ascii="Times New Roman" w:eastAsia="仿宋"/>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10.若竞买人出价达到相应宗地出让价格上限，不再接受更高报价，由拍卖主持人宣布转为由愿意出价相应宗地出让上限价的竞买人报名参加摇号，并宣读《摇号规则》，同时由记录人进行登记。</w:t>
      </w:r>
    </w:p>
    <w:p>
      <w:pPr>
        <w:spacing w:line="520" w:lineRule="exact"/>
        <w:ind w:firstLine="640" w:firstLineChars="200"/>
        <w:rPr>
          <w:rFonts w:ascii="Times New Roman" w:eastAsia="仿宋"/>
          <w:color w:val="auto"/>
          <w:szCs w:val="32"/>
        </w:rPr>
      </w:pPr>
      <w:r>
        <w:rPr>
          <w:rFonts w:ascii="Times New Roman" w:eastAsia="仿宋"/>
          <w:color w:val="auto"/>
          <w:szCs w:val="32"/>
        </w:rPr>
        <w:t>11.拍卖主持人对登记的竞买人通过随机摇号的方式确定竞买人，并由记录人做好相关记录。</w:t>
      </w:r>
    </w:p>
    <w:p>
      <w:pPr>
        <w:spacing w:line="520" w:lineRule="exact"/>
        <w:ind w:firstLine="640" w:firstLineChars="200"/>
        <w:rPr>
          <w:rFonts w:ascii="Times New Roman" w:eastAsia="仿宋"/>
          <w:color w:val="auto"/>
          <w:szCs w:val="32"/>
        </w:rPr>
      </w:pPr>
      <w:r>
        <w:rPr>
          <w:rFonts w:ascii="Times New Roman" w:eastAsia="仿宋"/>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（三）出让人与竞得人依据《成交确认书》约定签订《国有建设用地使用权出让合同》。</w:t>
      </w:r>
    </w:p>
    <w:p>
      <w:pPr>
        <w:spacing w:line="520" w:lineRule="exact"/>
        <w:ind w:firstLine="640" w:firstLineChars="200"/>
        <w:rPr>
          <w:rFonts w:ascii="Times New Roman" w:eastAsia="仿宋"/>
          <w:color w:val="auto"/>
          <w:szCs w:val="32"/>
        </w:rPr>
      </w:pPr>
      <w:r>
        <w:rPr>
          <w:rFonts w:ascii="Times New Roman" w:eastAsia="仿宋"/>
          <w:color w:val="auto"/>
          <w:szCs w:val="32"/>
        </w:rPr>
        <w:t>（四）出让结果公布</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我局将在此次国有建设用地使用权拍卖会结束后10个工作日内，在中国土地市场网（www.landchina.com）、泉州自然资源和规划</w:t>
      </w:r>
      <w:r>
        <w:rPr>
          <w:rFonts w:ascii="Times New Roman" w:eastAsia="仿宋"/>
          <w:color w:val="auto"/>
          <w:kern w:val="10"/>
          <w:szCs w:val="32"/>
        </w:rPr>
        <w:t>信息网（</w:t>
      </w:r>
      <w:r>
        <w:rPr>
          <w:rFonts w:ascii="Times New Roman" w:eastAsia="仿宋"/>
          <w:color w:val="auto"/>
          <w:szCs w:val="32"/>
        </w:rPr>
        <w:t>zyghj.quanzhou.gov.cn</w:t>
      </w:r>
      <w:r>
        <w:rPr>
          <w:rFonts w:ascii="Times New Roman" w:eastAsia="仿宋"/>
          <w:color w:val="auto"/>
          <w:kern w:val="10"/>
          <w:szCs w:val="32"/>
        </w:rPr>
        <w:t>）</w:t>
      </w:r>
      <w:r>
        <w:rPr>
          <w:rFonts w:ascii="Times New Roman" w:eastAsia="仿宋"/>
          <w:color w:val="auto"/>
          <w:szCs w:val="32"/>
        </w:rPr>
        <w:t>公布本次国有建设用地使用权拍卖出让结果。</w:t>
      </w:r>
    </w:p>
    <w:p>
      <w:pPr>
        <w:spacing w:line="520" w:lineRule="exact"/>
        <w:ind w:firstLine="640" w:firstLineChars="200"/>
        <w:rPr>
          <w:rFonts w:ascii="Times New Roman" w:eastAsia="仿宋"/>
          <w:color w:val="auto"/>
          <w:szCs w:val="32"/>
        </w:rPr>
      </w:pPr>
      <w:r>
        <w:rPr>
          <w:rFonts w:ascii="Times New Roman" w:eastAsia="仿宋"/>
          <w:color w:val="auto"/>
          <w:szCs w:val="32"/>
        </w:rPr>
        <w:t>九、竞价规则</w:t>
      </w:r>
    </w:p>
    <w:p>
      <w:pPr>
        <w:spacing w:line="520" w:lineRule="exact"/>
        <w:ind w:firstLine="640" w:firstLineChars="200"/>
        <w:rPr>
          <w:rFonts w:ascii="Times New Roman" w:eastAsia="仿宋"/>
          <w:color w:val="auto"/>
          <w:szCs w:val="32"/>
        </w:rPr>
      </w:pPr>
      <w:r>
        <w:rPr>
          <w:rFonts w:ascii="Times New Roman" w:eastAsia="仿宋"/>
          <w:color w:val="auto"/>
          <w:szCs w:val="32"/>
        </w:rPr>
        <w:t>（一）不设保留价，当竞买人出价达到相应宗地出让上限价时，不再接受更高报价，对于有意向的多个竞买人，采取摇号方式确定竞得人。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（二）竞买人以举牌方式应价，也可以报价，除相应宗地上限价外，报价的加价幅度不得小于拍卖主持人宣布或调整的增价幅度。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（三）本次拍卖不设保留价。</w:t>
      </w:r>
    </w:p>
    <w:p>
      <w:pPr>
        <w:spacing w:line="520" w:lineRule="exact"/>
        <w:ind w:firstLine="640" w:firstLineChars="200"/>
        <w:rPr>
          <w:rFonts w:ascii="Times New Roman" w:eastAsia="仿宋"/>
          <w:color w:val="auto"/>
          <w:szCs w:val="32"/>
        </w:rPr>
      </w:pPr>
      <w:r>
        <w:rPr>
          <w:rFonts w:ascii="Times New Roman" w:eastAsia="仿宋"/>
          <w:color w:val="auto"/>
          <w:kern w:val="10"/>
          <w:szCs w:val="32"/>
        </w:rPr>
        <w:t>（四）竞买人凭《竞买资格确认书》和法定代表人（自然人、受委托代理人）身份证件领取竞买号牌。</w:t>
      </w:r>
      <w:r>
        <w:rPr>
          <w:rFonts w:ascii="Times New Roman" w:eastAsia="仿宋"/>
          <w:color w:val="auto"/>
          <w:szCs w:val="32"/>
        </w:rPr>
        <w:t>竞买号牌代表竞买人的资格。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（五）</w:t>
      </w:r>
      <w:r>
        <w:rPr>
          <w:rFonts w:ascii="Times New Roman" w:eastAsia="仿宋"/>
          <w:color w:val="auto"/>
          <w:szCs w:val="32"/>
        </w:rPr>
        <w:t>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10</w:t>
      </w:r>
      <w:r>
        <w:rPr>
          <w:rFonts w:ascii="Times New Roman" w:eastAsia="仿宋"/>
          <w:color w:val="auto"/>
          <w:szCs w:val="32"/>
        </w:rPr>
        <w:t>月</w:t>
      </w:r>
      <w:r>
        <w:rPr>
          <w:rFonts w:hint="eastAsia" w:ascii="Times New Roman" w:eastAsia="仿宋"/>
          <w:color w:val="auto"/>
          <w:szCs w:val="32"/>
          <w:lang w:val="en-US" w:eastAsia="zh-CN"/>
        </w:rPr>
        <w:t>31</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kern w:val="10"/>
          <w:szCs w:val="32"/>
        </w:rPr>
        <w:t>:</w:t>
      </w:r>
      <w:r>
        <w:rPr>
          <w:rFonts w:hint="eastAsia" w:ascii="Times New Roman" w:eastAsia="仿宋"/>
          <w:color w:val="auto"/>
          <w:kern w:val="10"/>
          <w:szCs w:val="32"/>
        </w:rPr>
        <w:t>0</w:t>
      </w:r>
      <w:r>
        <w:rPr>
          <w:rFonts w:ascii="Times New Roman" w:eastAsia="仿宋"/>
          <w:color w:val="auto"/>
          <w:kern w:val="10"/>
          <w:szCs w:val="32"/>
        </w:rPr>
        <w:t>0前，竞买人须领取竞买号牌并进入竞买现场，否则视为放弃竞买资格。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十、缴款时间、交地时间和交地条件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（一）缴款时间</w:t>
      </w:r>
    </w:p>
    <w:p>
      <w:pPr>
        <w:spacing w:line="520" w:lineRule="exact"/>
        <w:ind w:firstLine="640" w:firstLineChars="200"/>
        <w:rPr>
          <w:rFonts w:ascii="Times New Roman" w:eastAsia="仿宋"/>
          <w:color w:val="auto"/>
          <w:kern w:val="10"/>
          <w:szCs w:val="32"/>
        </w:rPr>
      </w:pPr>
      <w:r>
        <w:rPr>
          <w:rFonts w:hint="eastAsia" w:ascii="Times New Roman" w:eastAsia="仿宋"/>
          <w:color w:val="auto"/>
          <w:kern w:val="10"/>
          <w:szCs w:val="32"/>
        </w:rPr>
        <w:t>上述</w:t>
      </w:r>
      <w:r>
        <w:rPr>
          <w:rFonts w:ascii="Times New Roman" w:eastAsia="仿宋"/>
          <w:color w:val="auto"/>
          <w:kern w:val="10"/>
          <w:szCs w:val="32"/>
        </w:rPr>
        <w:t>地块竞得人自竞得之日起30日内应缴交成交价总额50%的成交价款（竞买保证金转作受让地块的定金，抵作土地出让价款），余款自竞得之日起</w:t>
      </w:r>
      <w:r>
        <w:rPr>
          <w:rFonts w:hint="eastAsia" w:ascii="Times New Roman" w:eastAsia="仿宋"/>
          <w:color w:val="auto"/>
          <w:kern w:val="10"/>
          <w:szCs w:val="32"/>
          <w:lang w:val="en-US" w:eastAsia="zh-CN"/>
        </w:rPr>
        <w:t>3</w:t>
      </w:r>
      <w:r>
        <w:rPr>
          <w:rFonts w:ascii="Times New Roman" w:eastAsia="仿宋"/>
          <w:color w:val="auto"/>
          <w:kern w:val="10"/>
          <w:szCs w:val="32"/>
        </w:rPr>
        <w:t>个月内交清</w:t>
      </w:r>
      <w:r>
        <w:rPr>
          <w:rFonts w:hint="eastAsia" w:ascii="Times New Roman" w:eastAsia="仿宋"/>
          <w:color w:val="auto"/>
          <w:kern w:val="10"/>
          <w:szCs w:val="32"/>
        </w:rPr>
        <w:t>。</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竞得人应当按时支付成交价款，不能按时支付成交价款的，自违约之日起，每日按迟延支付款项的1‰向出让人缴纳违约金。延期付款超过60日，经出让人催交后仍不能支付成交价款的，出让人有权解除合同并可请求违约赔偿，竞得人无权要求返还定金。</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（二）交地时间和交地条件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ascii="Times New Roman" w:eastAsia="仿宋"/>
          <w:color w:val="auto"/>
          <w:szCs w:val="32"/>
        </w:rPr>
      </w:pPr>
      <w:r>
        <w:rPr>
          <w:rFonts w:ascii="Times New Roman" w:eastAsia="仿宋"/>
          <w:color w:val="auto"/>
          <w:szCs w:val="32"/>
        </w:rPr>
        <w:t>十一、开工、竣工时间</w:t>
      </w:r>
    </w:p>
    <w:p>
      <w:pPr>
        <w:spacing w:line="520" w:lineRule="exact"/>
        <w:ind w:firstLine="640" w:firstLineChars="200"/>
        <w:rPr>
          <w:rFonts w:ascii="Times New Roman" w:eastAsia="仿宋"/>
          <w:color w:val="auto"/>
          <w:szCs w:val="32"/>
        </w:rPr>
      </w:pPr>
      <w:r>
        <w:rPr>
          <w:rFonts w:ascii="Times New Roman" w:eastAsia="仿宋"/>
          <w:color w:val="auto"/>
          <w:szCs w:val="32"/>
        </w:rPr>
        <w:t>上述地块竞得人应在签订《国有建设用地使用权出让合同》之日起1年内开工，并在开工后3年内竣工。</w:t>
      </w:r>
    </w:p>
    <w:p>
      <w:pPr>
        <w:spacing w:line="520" w:lineRule="exact"/>
        <w:ind w:firstLine="640" w:firstLineChars="200"/>
        <w:rPr>
          <w:rFonts w:ascii="Times New Roman" w:eastAsia="仿宋"/>
          <w:color w:val="auto"/>
          <w:szCs w:val="32"/>
        </w:rPr>
      </w:pPr>
      <w:r>
        <w:rPr>
          <w:rFonts w:ascii="Times New Roman" w:eastAsia="仿宋"/>
          <w:color w:val="auto"/>
          <w:szCs w:val="32"/>
        </w:rPr>
        <w:t>竞得人未能按照合同约定日期或同意延建所另行约定日期开工建设或竣工的，每延期一日，应向出让人支付相当于成交价款总额1‰的违约金。</w:t>
      </w:r>
    </w:p>
    <w:p>
      <w:pPr>
        <w:spacing w:line="520" w:lineRule="exact"/>
        <w:ind w:firstLine="640" w:firstLineChars="200"/>
        <w:rPr>
          <w:rFonts w:ascii="Times New Roman" w:eastAsia="仿宋"/>
          <w:color w:val="auto"/>
          <w:szCs w:val="32"/>
        </w:rPr>
      </w:pPr>
      <w:r>
        <w:rPr>
          <w:rFonts w:ascii="Times New Roman" w:eastAsia="仿宋"/>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ascii="Times New Roman" w:eastAsia="仿宋"/>
          <w:color w:val="auto"/>
          <w:szCs w:val="32"/>
        </w:rPr>
      </w:pPr>
      <w:r>
        <w:rPr>
          <w:rFonts w:ascii="Times New Roman" w:eastAsia="仿宋"/>
          <w:color w:val="auto"/>
          <w:szCs w:val="32"/>
        </w:rPr>
        <w:t>竞得人造成土地闲置，按《闲置土地处置办法》有关规定执行。</w:t>
      </w:r>
    </w:p>
    <w:p>
      <w:pPr>
        <w:spacing w:line="520" w:lineRule="exact"/>
        <w:ind w:firstLine="640" w:firstLineChars="200"/>
        <w:rPr>
          <w:rFonts w:ascii="Times New Roman" w:eastAsia="仿宋"/>
          <w:color w:val="auto"/>
          <w:szCs w:val="32"/>
        </w:rPr>
      </w:pPr>
      <w:r>
        <w:rPr>
          <w:rFonts w:ascii="Times New Roman" w:eastAsia="仿宋"/>
          <w:color w:val="auto"/>
          <w:szCs w:val="32"/>
        </w:rPr>
        <w:t>十二、注意事项</w:t>
      </w:r>
    </w:p>
    <w:p>
      <w:pPr>
        <w:spacing w:line="520" w:lineRule="exact"/>
        <w:ind w:firstLine="640" w:firstLineChars="200"/>
        <w:rPr>
          <w:rFonts w:ascii="Times New Roman" w:eastAsia="仿宋"/>
          <w:color w:val="auto"/>
          <w:szCs w:val="32"/>
        </w:rPr>
      </w:pPr>
      <w:r>
        <w:rPr>
          <w:rFonts w:ascii="Times New Roman" w:eastAsia="仿宋"/>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ascii="Times New Roman" w:eastAsia="仿宋"/>
          <w:color w:val="auto"/>
          <w:szCs w:val="32"/>
        </w:rPr>
        <w:t>竞买人</w:t>
      </w:r>
      <w:bookmarkEnd w:id="0"/>
      <w:r>
        <w:rPr>
          <w:rFonts w:ascii="Times New Roman" w:eastAsia="仿宋"/>
          <w:color w:val="auto"/>
          <w:szCs w:val="32"/>
        </w:rPr>
        <w:t>对拍卖文件及地块现状无异议并全部接受，并对有关承诺承担法律责任。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ascii="Times New Roman" w:eastAsia="仿宋"/>
          <w:color w:val="auto"/>
          <w:szCs w:val="32"/>
        </w:rPr>
      </w:pPr>
      <w:r>
        <w:rPr>
          <w:rFonts w:ascii="Times New Roman" w:eastAsia="仿宋"/>
          <w:color w:val="auto"/>
          <w:szCs w:val="32"/>
        </w:rPr>
        <w:t>（三）竞买人一经应价或报价，不可撤回。</w:t>
      </w:r>
    </w:p>
    <w:p>
      <w:pPr>
        <w:spacing w:line="520" w:lineRule="exact"/>
        <w:ind w:firstLine="640" w:firstLineChars="200"/>
        <w:rPr>
          <w:rFonts w:ascii="Times New Roman" w:eastAsia="仿宋"/>
          <w:color w:val="auto"/>
          <w:szCs w:val="32"/>
        </w:rPr>
      </w:pPr>
      <w:r>
        <w:rPr>
          <w:rFonts w:ascii="Times New Roman" w:eastAsia="仿宋"/>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ascii="Times New Roman" w:eastAsia="仿宋"/>
          <w:color w:val="auto"/>
          <w:szCs w:val="32"/>
        </w:rPr>
      </w:pPr>
      <w:r>
        <w:rPr>
          <w:rFonts w:ascii="Times New Roman" w:eastAsia="仿宋"/>
          <w:color w:val="auto"/>
          <w:szCs w:val="32"/>
        </w:rPr>
        <w:t>（六）有下列情形之一的，出让人或组织方应当在拍卖会前终止拍卖活动，并通知竞买人：</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1．竞买人串通损害国家利益、社会利益或他人合法权益的；</w:t>
      </w:r>
    </w:p>
    <w:p>
      <w:pPr>
        <w:spacing w:line="520" w:lineRule="exact"/>
        <w:ind w:firstLine="640" w:firstLineChars="200"/>
        <w:rPr>
          <w:rFonts w:ascii="Times New Roman" w:eastAsia="仿宋"/>
          <w:color w:val="auto"/>
          <w:szCs w:val="32"/>
        </w:rPr>
      </w:pPr>
      <w:r>
        <w:rPr>
          <w:rFonts w:ascii="Times New Roman" w:eastAsia="仿宋"/>
          <w:color w:val="auto"/>
          <w:szCs w:val="32"/>
        </w:rPr>
        <w:t>2．拍卖工作人员私下接触竞买人，足以影响拍卖公正性的；</w:t>
      </w:r>
    </w:p>
    <w:p>
      <w:pPr>
        <w:spacing w:line="520" w:lineRule="exact"/>
        <w:ind w:firstLine="640" w:firstLineChars="200"/>
        <w:rPr>
          <w:rFonts w:ascii="Times New Roman" w:eastAsia="仿宋"/>
          <w:color w:val="auto"/>
          <w:szCs w:val="32"/>
        </w:rPr>
      </w:pPr>
      <w:r>
        <w:rPr>
          <w:rFonts w:ascii="Times New Roman" w:eastAsia="仿宋"/>
          <w:color w:val="auto"/>
          <w:szCs w:val="32"/>
        </w:rPr>
        <w:t>3．应当依法终止拍卖活动的其他情形。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（七）竞得人有下列行为之一的，视为违约，出让人或组织方可取消其竞得人资格，竞买保证金不予退还：</w:t>
      </w:r>
    </w:p>
    <w:p>
      <w:pPr>
        <w:spacing w:line="520" w:lineRule="exact"/>
        <w:ind w:firstLine="640" w:firstLineChars="200"/>
        <w:rPr>
          <w:rFonts w:ascii="Times New Roman" w:eastAsia="仿宋"/>
          <w:color w:val="auto"/>
          <w:szCs w:val="32"/>
        </w:rPr>
      </w:pPr>
      <w:r>
        <w:rPr>
          <w:rFonts w:ascii="Times New Roman" w:eastAsia="仿宋"/>
          <w:color w:val="auto"/>
          <w:szCs w:val="32"/>
        </w:rPr>
        <w:t>1．竞得人逾期或拒绝签订《成交确认书》的；</w:t>
      </w:r>
    </w:p>
    <w:p>
      <w:pPr>
        <w:spacing w:line="520" w:lineRule="exact"/>
        <w:ind w:firstLine="640" w:firstLineChars="200"/>
        <w:rPr>
          <w:rFonts w:ascii="Times New Roman" w:eastAsia="仿宋"/>
          <w:color w:val="auto"/>
          <w:szCs w:val="32"/>
        </w:rPr>
      </w:pPr>
      <w:r>
        <w:rPr>
          <w:rFonts w:ascii="Times New Roman" w:eastAsia="仿宋"/>
          <w:color w:val="auto"/>
          <w:szCs w:val="32"/>
        </w:rPr>
        <w:t>2</w:t>
      </w:r>
      <w:bookmarkStart w:id="1" w:name="OLE_LINK2"/>
      <w:r>
        <w:rPr>
          <w:rFonts w:ascii="Times New Roman" w:eastAsia="仿宋"/>
          <w:color w:val="auto"/>
          <w:szCs w:val="32"/>
        </w:rPr>
        <w:t>．</w:t>
      </w:r>
      <w:bookmarkEnd w:id="1"/>
      <w:r>
        <w:rPr>
          <w:rFonts w:ascii="Times New Roman" w:eastAsia="仿宋"/>
          <w:color w:val="auto"/>
          <w:szCs w:val="32"/>
        </w:rPr>
        <w:t>竞得人逾期或拒绝签订《国有建设用地使用权出让合同》的。</w:t>
      </w:r>
    </w:p>
    <w:p>
      <w:pPr>
        <w:spacing w:line="520" w:lineRule="exact"/>
        <w:ind w:firstLine="640" w:firstLineChars="200"/>
        <w:rPr>
          <w:rFonts w:ascii="Times New Roman" w:eastAsia="仿宋"/>
          <w:color w:val="auto"/>
          <w:szCs w:val="32"/>
        </w:rPr>
      </w:pPr>
      <w:r>
        <w:rPr>
          <w:rFonts w:ascii="Times New Roman" w:eastAsia="仿宋"/>
          <w:color w:val="auto"/>
          <w:szCs w:val="32"/>
        </w:rPr>
        <w:t>3．竞得人开出的银行支票或汇票在有效期内不能兑现或不能全部兑现。</w:t>
      </w:r>
    </w:p>
    <w:p>
      <w:pPr>
        <w:spacing w:line="520" w:lineRule="exact"/>
        <w:ind w:firstLine="640" w:firstLineChars="200"/>
        <w:rPr>
          <w:rFonts w:ascii="Times New Roman" w:eastAsia="仿宋"/>
          <w:color w:val="auto"/>
          <w:szCs w:val="32"/>
        </w:rPr>
      </w:pPr>
      <w:r>
        <w:rPr>
          <w:rFonts w:ascii="Times New Roman" w:eastAsia="仿宋"/>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20" w:lineRule="exact"/>
        <w:ind w:firstLine="640" w:firstLineChars="200"/>
        <w:rPr>
          <w:rFonts w:ascii="Times New Roman" w:eastAsia="仿宋"/>
          <w:color w:val="auto"/>
          <w:szCs w:val="32"/>
        </w:rPr>
      </w:pPr>
      <w:r>
        <w:rPr>
          <w:rFonts w:ascii="Times New Roman" w:eastAsia="仿宋"/>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ascii="Times New Roman" w:eastAsia="仿宋"/>
          <w:color w:val="auto"/>
          <w:szCs w:val="32"/>
        </w:rPr>
      </w:pPr>
      <w:r>
        <w:rPr>
          <w:rFonts w:ascii="Times New Roman" w:eastAsia="仿宋"/>
          <w:color w:val="auto"/>
          <w:szCs w:val="32"/>
        </w:rPr>
        <w:t>注：按上述费率</w:t>
      </w:r>
      <w:r>
        <w:rPr>
          <w:rFonts w:hint="eastAsia" w:ascii="Times New Roman" w:eastAsia="仿宋"/>
          <w:color w:val="auto"/>
          <w:szCs w:val="32"/>
        </w:rPr>
        <w:t>分级累进</w:t>
      </w:r>
      <w:r>
        <w:rPr>
          <w:rFonts w:ascii="Times New Roman" w:eastAsia="仿宋"/>
          <w:color w:val="auto"/>
          <w:szCs w:val="32"/>
        </w:rPr>
        <w:t>计收</w:t>
      </w:r>
      <w:r>
        <w:rPr>
          <w:rFonts w:hint="eastAsia" w:ascii="Times New Roman" w:eastAsia="仿宋"/>
          <w:color w:val="auto"/>
          <w:szCs w:val="32"/>
        </w:rPr>
        <w:t>，</w:t>
      </w:r>
      <w:r>
        <w:rPr>
          <w:rFonts w:ascii="Times New Roman" w:eastAsia="仿宋"/>
          <w:color w:val="auto"/>
          <w:szCs w:val="32"/>
        </w:rPr>
        <w:t>每宗收费金额不足100元的按100元收取。</w:t>
      </w:r>
    </w:p>
    <w:p>
      <w:pPr>
        <w:spacing w:line="520" w:lineRule="exact"/>
        <w:rPr>
          <w:rFonts w:ascii="Times New Roman" w:eastAsia="仿宋"/>
          <w:color w:val="auto"/>
          <w:szCs w:val="32"/>
        </w:rPr>
      </w:pPr>
      <w:r>
        <w:rPr>
          <w:rFonts w:ascii="Times New Roman" w:eastAsia="仿宋"/>
          <w:color w:val="auto"/>
          <w:szCs w:val="32"/>
        </w:rPr>
        <w:t xml:space="preserve">    竞得人须在成交之日起3个工作日内将交易服务费汇到泉州市产权交易中心有限公司指定账号内。</w:t>
      </w:r>
      <w:r>
        <w:rPr>
          <w:rFonts w:ascii="Times New Roman" w:eastAsia="仿宋"/>
          <w:bCs/>
          <w:color w:val="auto"/>
          <w:szCs w:val="32"/>
        </w:rPr>
        <w:t>交易服务费账户户名</w:t>
      </w:r>
      <w:r>
        <w:rPr>
          <w:rFonts w:ascii="Times New Roman" w:eastAsia="仿宋"/>
          <w:color w:val="auto"/>
          <w:szCs w:val="32"/>
        </w:rPr>
        <w:t>：泉州市产权交易中心有限公司，兴业银行泉州丰泽支行152690100100090830。</w:t>
      </w:r>
    </w:p>
    <w:p>
      <w:pPr>
        <w:spacing w:line="520" w:lineRule="exact"/>
        <w:ind w:firstLine="640" w:firstLineChars="200"/>
        <w:rPr>
          <w:rFonts w:ascii="Times New Roman" w:eastAsia="仿宋"/>
          <w:color w:val="auto"/>
          <w:szCs w:val="32"/>
        </w:rPr>
      </w:pPr>
      <w:r>
        <w:rPr>
          <w:rFonts w:ascii="Times New Roman" w:eastAsia="仿宋"/>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ascii="Times New Roman" w:eastAsia="仿宋"/>
          <w:color w:val="auto"/>
          <w:szCs w:val="32"/>
        </w:rPr>
      </w:pPr>
      <w:r>
        <w:rPr>
          <w:rFonts w:ascii="Times New Roman" w:eastAsia="仿宋"/>
          <w:color w:val="auto"/>
          <w:szCs w:val="32"/>
        </w:rPr>
        <w:t>（十）竞得人付清全部拍卖成交价款后，依法申请办理土地登记，领取《不动产权证》，取得土地使用权。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ascii="Times New Roman" w:eastAsia="仿宋"/>
          <w:color w:val="auto"/>
          <w:szCs w:val="32"/>
        </w:rPr>
      </w:pPr>
      <w:r>
        <w:rPr>
          <w:rFonts w:ascii="Times New Roman" w:eastAsia="仿宋"/>
          <w:color w:val="auto"/>
          <w:szCs w:val="32"/>
        </w:rPr>
        <w:t>（十二）拍卖不成交的，按规定由我局重新组织出让。</w:t>
      </w:r>
    </w:p>
    <w:p>
      <w:pPr>
        <w:spacing w:line="520" w:lineRule="exact"/>
        <w:ind w:firstLine="640" w:firstLineChars="200"/>
        <w:rPr>
          <w:rFonts w:ascii="Times New Roman" w:eastAsia="仿宋"/>
          <w:color w:val="auto"/>
          <w:szCs w:val="32"/>
        </w:rPr>
      </w:pPr>
      <w:r>
        <w:rPr>
          <w:rFonts w:ascii="Times New Roman" w:eastAsia="仿宋"/>
          <w:color w:val="auto"/>
          <w:szCs w:val="32"/>
        </w:rPr>
        <w:t>（十三）参加拍卖活动的人员，应遵守现场的纪律，服从管理人员的管理。</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（十四）</w:t>
      </w:r>
      <w:r>
        <w:rPr>
          <w:rFonts w:ascii="Times New Roman" w:eastAsia="仿宋"/>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ascii="Times New Roman" w:eastAsia="仿宋"/>
          <w:color w:val="auto"/>
          <w:szCs w:val="32"/>
        </w:rPr>
      </w:pPr>
      <w:r>
        <w:rPr>
          <w:rFonts w:ascii="Times New Roman" w:eastAsia="仿宋"/>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ascii="Times New Roman" w:eastAsia="仿宋"/>
          <w:color w:val="auto"/>
          <w:szCs w:val="32"/>
        </w:rPr>
      </w:pPr>
    </w:p>
    <w:p>
      <w:pPr>
        <w:spacing w:line="520" w:lineRule="exact"/>
        <w:ind w:right="1440" w:rightChars="450"/>
        <w:jc w:val="right"/>
        <w:rPr>
          <w:rFonts w:ascii="Times New Roman" w:eastAsia="仿宋"/>
          <w:color w:val="auto"/>
          <w:szCs w:val="32"/>
        </w:rPr>
      </w:pPr>
      <w:r>
        <w:rPr>
          <w:rFonts w:ascii="Times New Roman" w:eastAsia="仿宋"/>
          <w:color w:val="auto"/>
          <w:szCs w:val="32"/>
        </w:rPr>
        <w:t>泉州市自然资源和规划局</w:t>
      </w:r>
    </w:p>
    <w:p>
      <w:pPr>
        <w:spacing w:line="520" w:lineRule="exact"/>
        <w:ind w:right="1920" w:rightChars="600"/>
        <w:jc w:val="right"/>
        <w:rPr>
          <w:rFonts w:ascii="Times New Roman" w:eastAsia="仿宋"/>
          <w:color w:val="auto"/>
          <w:szCs w:val="32"/>
        </w:rPr>
      </w:pPr>
      <w:r>
        <w:rPr>
          <w:rFonts w:ascii="Times New Roman" w:eastAsia="仿宋"/>
          <w:color w:val="auto"/>
          <w:szCs w:val="32"/>
        </w:rPr>
        <w:t>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9</w:t>
      </w:r>
      <w:r>
        <w:rPr>
          <w:rFonts w:ascii="Times New Roman" w:eastAsia="仿宋"/>
          <w:color w:val="auto"/>
          <w:szCs w:val="32"/>
        </w:rPr>
        <w:t>月</w:t>
      </w:r>
      <w:r>
        <w:rPr>
          <w:rFonts w:hint="eastAsia" w:ascii="Times New Roman" w:eastAsia="仿宋"/>
          <w:color w:val="auto"/>
          <w:szCs w:val="32"/>
          <w:lang w:val="en-US" w:eastAsia="zh-CN"/>
        </w:rPr>
        <w:t>28</w:t>
      </w:r>
      <w:r>
        <w:rPr>
          <w:rFonts w:ascii="Times New Roman" w:eastAsia="仿宋"/>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8</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3"/>
      <w:numFmt w:val="chineseCounting"/>
      <w:suff w:val="nothing"/>
      <w:lvlText w:val="%1、"/>
      <w:lvlJc w:val="left"/>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liMTMxYWFmNmZiNDRhY2U3ZmRkMzgxMzJiOTdlZDAifQ=="/>
  </w:docVars>
  <w:rsids>
    <w:rsidRoot w:val="00172A27"/>
    <w:rsid w:val="000016B5"/>
    <w:rsid w:val="00002AE4"/>
    <w:rsid w:val="00003F9E"/>
    <w:rsid w:val="00006DED"/>
    <w:rsid w:val="00007284"/>
    <w:rsid w:val="00012B7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30213"/>
    <w:rsid w:val="00230EA6"/>
    <w:rsid w:val="002310EC"/>
    <w:rsid w:val="002640EE"/>
    <w:rsid w:val="002641D3"/>
    <w:rsid w:val="00265439"/>
    <w:rsid w:val="002701FA"/>
    <w:rsid w:val="002747E3"/>
    <w:rsid w:val="00287634"/>
    <w:rsid w:val="00297A19"/>
    <w:rsid w:val="002A493F"/>
    <w:rsid w:val="002A62DB"/>
    <w:rsid w:val="002B0B0C"/>
    <w:rsid w:val="002B2DAB"/>
    <w:rsid w:val="002B5E05"/>
    <w:rsid w:val="002C2C99"/>
    <w:rsid w:val="002C4BE5"/>
    <w:rsid w:val="002C622F"/>
    <w:rsid w:val="002D60EF"/>
    <w:rsid w:val="002D6203"/>
    <w:rsid w:val="002E3F49"/>
    <w:rsid w:val="002F405D"/>
    <w:rsid w:val="002F61D2"/>
    <w:rsid w:val="00305481"/>
    <w:rsid w:val="003137B2"/>
    <w:rsid w:val="00314E95"/>
    <w:rsid w:val="00351390"/>
    <w:rsid w:val="00355A1D"/>
    <w:rsid w:val="00370D21"/>
    <w:rsid w:val="00371488"/>
    <w:rsid w:val="0038165A"/>
    <w:rsid w:val="003824A3"/>
    <w:rsid w:val="003834BA"/>
    <w:rsid w:val="00387C74"/>
    <w:rsid w:val="0039207F"/>
    <w:rsid w:val="00392175"/>
    <w:rsid w:val="003963F2"/>
    <w:rsid w:val="003A1A81"/>
    <w:rsid w:val="003B178E"/>
    <w:rsid w:val="003B4A36"/>
    <w:rsid w:val="003E153A"/>
    <w:rsid w:val="00400F82"/>
    <w:rsid w:val="004013BA"/>
    <w:rsid w:val="00402C58"/>
    <w:rsid w:val="004218FA"/>
    <w:rsid w:val="00423CC5"/>
    <w:rsid w:val="00427340"/>
    <w:rsid w:val="0043783F"/>
    <w:rsid w:val="00451A04"/>
    <w:rsid w:val="00451F9D"/>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183F"/>
    <w:rsid w:val="004F6EA6"/>
    <w:rsid w:val="004F74E4"/>
    <w:rsid w:val="00511B4C"/>
    <w:rsid w:val="00511D8D"/>
    <w:rsid w:val="0051676C"/>
    <w:rsid w:val="00516D6D"/>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1079"/>
    <w:rsid w:val="00BD7737"/>
    <w:rsid w:val="00BE5931"/>
    <w:rsid w:val="00BE5A94"/>
    <w:rsid w:val="00C058D9"/>
    <w:rsid w:val="00C119BB"/>
    <w:rsid w:val="00C31BA7"/>
    <w:rsid w:val="00C31C32"/>
    <w:rsid w:val="00C40B94"/>
    <w:rsid w:val="00C41A28"/>
    <w:rsid w:val="00C503D2"/>
    <w:rsid w:val="00C53A6B"/>
    <w:rsid w:val="00C84B93"/>
    <w:rsid w:val="00C979BC"/>
    <w:rsid w:val="00CA1CD9"/>
    <w:rsid w:val="00CA48D8"/>
    <w:rsid w:val="00CA624D"/>
    <w:rsid w:val="00CA6C71"/>
    <w:rsid w:val="00CB24B8"/>
    <w:rsid w:val="00CD5A27"/>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6714"/>
    <w:rsid w:val="00E87845"/>
    <w:rsid w:val="00E9243E"/>
    <w:rsid w:val="00EA1A86"/>
    <w:rsid w:val="00EA7921"/>
    <w:rsid w:val="00EC40B9"/>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3D0075A"/>
    <w:rsid w:val="060058D9"/>
    <w:rsid w:val="076B4F50"/>
    <w:rsid w:val="0A050A0A"/>
    <w:rsid w:val="105D2635"/>
    <w:rsid w:val="10801B04"/>
    <w:rsid w:val="14C702EB"/>
    <w:rsid w:val="157435CA"/>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566232B"/>
    <w:rsid w:val="3A314ED2"/>
    <w:rsid w:val="3A7D040E"/>
    <w:rsid w:val="3B0E44F4"/>
    <w:rsid w:val="3DB14890"/>
    <w:rsid w:val="3E8C3A26"/>
    <w:rsid w:val="3F73645C"/>
    <w:rsid w:val="412A0477"/>
    <w:rsid w:val="42041D48"/>
    <w:rsid w:val="45D07A7B"/>
    <w:rsid w:val="45FB48A4"/>
    <w:rsid w:val="48DB5365"/>
    <w:rsid w:val="4BDF7549"/>
    <w:rsid w:val="4DF37842"/>
    <w:rsid w:val="4F46621E"/>
    <w:rsid w:val="53417DE8"/>
    <w:rsid w:val="545D6861"/>
    <w:rsid w:val="551E49A7"/>
    <w:rsid w:val="565C1810"/>
    <w:rsid w:val="58805E0B"/>
    <w:rsid w:val="59FFFD36"/>
    <w:rsid w:val="5A100A69"/>
    <w:rsid w:val="5A884F5B"/>
    <w:rsid w:val="5AC66E6D"/>
    <w:rsid w:val="5C2F2B85"/>
    <w:rsid w:val="5D711BC1"/>
    <w:rsid w:val="5DC00719"/>
    <w:rsid w:val="5E6370DC"/>
    <w:rsid w:val="5E7210B7"/>
    <w:rsid w:val="5EBE1F44"/>
    <w:rsid w:val="5EF61BEE"/>
    <w:rsid w:val="5FFCDEF8"/>
    <w:rsid w:val="61E31F82"/>
    <w:rsid w:val="627AADA0"/>
    <w:rsid w:val="64B6114A"/>
    <w:rsid w:val="654D6D68"/>
    <w:rsid w:val="67835892"/>
    <w:rsid w:val="69287FF9"/>
    <w:rsid w:val="69BA7FBC"/>
    <w:rsid w:val="69EF4473"/>
    <w:rsid w:val="69F5315F"/>
    <w:rsid w:val="6B993729"/>
    <w:rsid w:val="6C5E3ED7"/>
    <w:rsid w:val="6D601559"/>
    <w:rsid w:val="6DC95D5B"/>
    <w:rsid w:val="6F4A2587"/>
    <w:rsid w:val="6F565F34"/>
    <w:rsid w:val="6F817756"/>
    <w:rsid w:val="706C57A0"/>
    <w:rsid w:val="70856287"/>
    <w:rsid w:val="71CC5BD1"/>
    <w:rsid w:val="735B762D"/>
    <w:rsid w:val="75BE6923"/>
    <w:rsid w:val="75DE796D"/>
    <w:rsid w:val="772C6592"/>
    <w:rsid w:val="7C614DBC"/>
    <w:rsid w:val="7CED3003"/>
    <w:rsid w:val="7CFE5411"/>
    <w:rsid w:val="7DC16531"/>
    <w:rsid w:val="7DFD2408"/>
    <w:rsid w:val="B6F5B665"/>
    <w:rsid w:val="F33752BE"/>
    <w:rsid w:val="FD9FE1A1"/>
    <w:rsid w:val="FED7EB8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sz w:val="24"/>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5">
    <w:name w:val="Char"/>
    <w:basedOn w:val="1"/>
    <w:qFormat/>
    <w:uiPriority w:val="0"/>
  </w:style>
  <w:style w:type="paragraph" w:customStyle="1" w:styleId="16">
    <w:name w:val="_Style 3"/>
    <w:basedOn w:val="1"/>
    <w:qFormat/>
    <w:uiPriority w:val="0"/>
  </w:style>
  <w:style w:type="paragraph" w:customStyle="1" w:styleId="17">
    <w:name w:val="Char Char"/>
    <w:basedOn w:val="1"/>
    <w:qFormat/>
    <w:uiPriority w:val="0"/>
    <w:rPr>
      <w:rFonts w:ascii="Times New Roman" w:eastAsia="宋体"/>
      <w:color w:val="auto"/>
      <w:kern w:val="2"/>
      <w:sz w:val="21"/>
      <w:szCs w:val="24"/>
    </w:rPr>
  </w:style>
  <w:style w:type="paragraph" w:customStyle="1" w:styleId="18">
    <w:name w:val="Char Char8"/>
    <w:basedOn w:val="1"/>
    <w:qFormat/>
    <w:uiPriority w:val="0"/>
    <w:rPr>
      <w:rFonts w:ascii="Times New Roman" w:eastAsia="宋体"/>
      <w:color w:val="auto"/>
      <w:kern w:val="2"/>
      <w:sz w:val="21"/>
      <w:szCs w:val="24"/>
    </w:rPr>
  </w:style>
  <w:style w:type="paragraph" w:customStyle="1" w:styleId="19">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17</Pages>
  <Words>1514</Words>
  <Characters>8634</Characters>
  <Lines>71</Lines>
  <Paragraphs>20</Paragraphs>
  <TotalTime>0</TotalTime>
  <ScaleCrop>false</ScaleCrop>
  <LinksUpToDate>false</LinksUpToDate>
  <CharactersWithSpaces>10128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2019-12-07T15:04:00Z</dcterms:created>
  <dc:creator>未羽</dc:creator>
  <cp:lastModifiedBy>ozone</cp:lastModifiedBy>
  <cp:lastPrinted>2021-11-26T23:02:00Z</cp:lastPrinted>
  <dcterms:modified xsi:type="dcterms:W3CDTF">2023-09-28T12:50:48Z</dcterms:modified>
  <dc:title>国有建设用地使用权拍卖出让须知</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147DB053FB7B4A7CAC58A0FE60B8BF0F</vt:lpwstr>
  </property>
</Properties>
</file>