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丰2023-7号地块</w:t>
      </w:r>
      <w:r>
        <w:rPr>
          <w:rFonts w:ascii="Times New Roman" w:eastAsia="方正小标宋简体"/>
          <w:bCs/>
          <w:color w:val="auto"/>
          <w:sz w:val="44"/>
          <w:szCs w:val="44"/>
        </w:rPr>
        <w:t>国有建设用地使用权拍卖</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rPr>
        <w:t>丰2023-7号地块</w:t>
      </w:r>
      <w:r>
        <w:rPr>
          <w:rFonts w:ascii="Times New Roman" w:eastAsia="仿宋"/>
          <w:color w:val="auto"/>
          <w:szCs w:val="32"/>
        </w:rPr>
        <w:t>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w:t>
      </w:r>
      <w:r>
        <w:rPr>
          <w:rFonts w:hint="eastAsia" w:ascii="Times New Roman" w:eastAsia="仿宋"/>
          <w:color w:val="auto"/>
          <w:szCs w:val="32"/>
          <w:lang w:eastAsia="zh-CN"/>
        </w:rPr>
        <w:t>者</w:t>
      </w:r>
      <w:r>
        <w:rPr>
          <w:rFonts w:ascii="Times New Roman" w:eastAsia="仿宋"/>
          <w:color w:val="auto"/>
          <w:szCs w:val="32"/>
        </w:rPr>
        <w:t>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spacing w:line="520" w:lineRule="exact"/>
        <w:ind w:firstLine="640" w:firstLineChars="200"/>
        <w:rPr>
          <w:rFonts w:ascii="Times New Roman" w:eastAsia="仿宋"/>
          <w:color w:val="auto"/>
          <w:szCs w:val="32"/>
        </w:rPr>
      </w:pPr>
      <w:r>
        <w:rPr>
          <w:rFonts w:ascii="Times New Roman" w:eastAsia="仿宋"/>
          <w:color w:val="auto"/>
          <w:szCs w:val="32"/>
        </w:rPr>
        <w:t>拍卖时间：202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2</w:t>
      </w:r>
      <w:r>
        <w:rPr>
          <w:rFonts w:ascii="Times New Roman" w:eastAsia="仿宋"/>
          <w:color w:val="auto"/>
          <w:szCs w:val="32"/>
        </w:rPr>
        <w:t>月</w:t>
      </w:r>
      <w:r>
        <w:rPr>
          <w:rFonts w:hint="eastAsia" w:ascii="Times New Roman" w:eastAsia="仿宋"/>
          <w:color w:val="auto"/>
          <w:szCs w:val="32"/>
        </w:rPr>
        <w:t>22</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szCs w:val="32"/>
        </w:rPr>
        <w:t>：00。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三、</w:t>
      </w:r>
      <w:r>
        <w:rPr>
          <w:rFonts w:ascii="Times New Roman" w:eastAsia="仿宋"/>
          <w:color w:val="auto"/>
          <w:szCs w:val="32"/>
        </w:rPr>
        <w:t>本次国有建设用地使用权采用</w:t>
      </w:r>
      <w:r>
        <w:rPr>
          <w:rFonts w:hint="eastAsia" w:ascii="Times New Roman" w:eastAsia="仿宋"/>
          <w:color w:val="auto"/>
          <w:szCs w:val="32"/>
        </w:rPr>
        <w:t>“限房价，限地价，竞现房销售”方式拍卖出让，不设保留价。竞价过程中，竞买人最高报价未超过拍卖溢价率15%的最高限制地价（即丰2023-7号地块总价241500万元）时，按价高者得的原则确定竞得人和成交价;当拍卖溢价率达到15%时，则不再接受更高报价，有意继续竞买的竞买人由竞地价转入竞现房销售建筑面积，竞买人每次竞报现房销售建筑面积应不少于可售住宅建筑面积2%或2%的整数倍。竞买人报出的现房销售建筑面积未达可售住宅建筑面积100%时，按报出现房销售建筑面积最多者得的原则确定竞得人；当有竞买人报出最高现房销售建筑面积达可售住宅建筑面积100%时，且有2个或2个以上竞买人接受该建筑面积时，当即现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2023-7号地块。该宗地即2023-36号储备用地，位于丰泽区城东街道，安吉路与海韵街交叉口东侧，土地面积55071.23平方米（约合82.61亩），绿地总用地面积10829.6平方米不计入容积率计算基数。规划用途为城镇住宅用地。主要技术指标为：容积率2.9以下1.0以上，建筑密度20%以下，绿地率35%以上，建筑高度80米以下。建设内容为住宅及商业等配套设施，其中商业设施计容建筑面积6000平方米，误差不超过正负100平方米。</w:t>
      </w:r>
    </w:p>
    <w:p>
      <w:pPr>
        <w:widowControl/>
        <w:spacing w:line="520" w:lineRule="exact"/>
        <w:ind w:firstLine="600"/>
        <w:rPr>
          <w:rFonts w:ascii="Times New Roman" w:eastAsia="仿宋"/>
          <w:color w:val="auto"/>
          <w:szCs w:val="32"/>
        </w:rPr>
      </w:pPr>
      <w:r>
        <w:rPr>
          <w:rFonts w:ascii="Times New Roman" w:eastAsia="仿宋"/>
          <w:color w:val="auto"/>
          <w:szCs w:val="32"/>
        </w:rPr>
        <w:t>（二）规划指标和相关要求</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1.丰2023-7号地块竞买申请人须具有房地产开发资质。</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2.丰2023-7号地块竞得人须按有关规范要求配套建设相应的公共配套服务设施，包括：社区管理服务用房、社区医疗服务站、居家养老服务站等设施[具体规划要求详见《泉州市自然资源和规划局关于下达2023-36号储备用地规划条件的通知》（泉资规〔2023〕261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3.丰2023-7号地块500米内规划建设有泉州第五中学城东校区、泉州市第二实验小学城东校区北校区。关于学区划分事宜，在当前丰泽区招生政策未改变的情况下为属地“三一致”原则，具体方案应待当年度片区摸底生源数后确定，以当年度丰泽区的小学和初中招生工作实施意见为准。</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4.丰2023-7号地块商业部分应整体经营，不可分割销售、不可分割转让。</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5.丰2023-7号地块竞买人应在竞买申请书中承诺，如竞得地块，在项目建设达到预售条件时，同意该项目商品房的预售价格受政府调控。该地块商品住宅用地用于建设改善型住房，住房户型面积144平方米以上，其中180平方米以上的不少于50%，该地块商品住宅销售价格在“限房价”[23903元/平方米（毛坯）]基础上浮不超过30%[30800元/平方米（毛坯）] ；同时全项目采取全装修交付，全装修标准不低于3000元/平方米，实施全装修后的商品住房预售备案均价不超过33800元/㎡（含全装修费用）。</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6.丰2023-7号地块装修成本由房地产咨询机构先行进行预估，提供样板房供购房人参观，交付样板房的保留时间，自预售范围内最后一批预售房源交付购房人之日起不少于6个月，装修款全额进入资金监管账号。在房屋全装修交付前，聘请3家中介机构对全装修成本进行审查或评估，由市、区两级住建部门组织专家评审确定成本，评估得出的装修成本低于装修档次的，其产生的价差资金全部作为公共维修基金，且购房人可要求开发企业无条件退房及予以赔偿资金利息。</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7.丰2023-7号地块在办理商品房预售许可（现售备案）时，优先安排10%的房源套数作为高层次人才房源，提供20%的可售商品房面积的房源优先用于房票方式购房，并与高层次人才房源在同一时间公示、报名（3天）、选房。认筹总人数若未超过剩余房源套数的120%，则由开发企业自行销售；认筹总人数若超过剩余房源套数的120%，则采取公证摇号销售，不分刚需、非刚需，剩余未选房源由开发企业自行销售。</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8.丰2023-7号地块的可销售房源应全部按程序办理预（现）售手续并向社会销售。严禁采取“以房抵债”、股东或特定全体垄断房源、办理自有产权等方式逃避公开销售，否则住建部门不予办理合同网签备案，产权登记部门不予办理产权。</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9.丰2023-7号地块现房销售部分需取得不动产首次登记方能申请办理现房销售备案。竞得人所竞得的现房销售建筑面积部分应以栋为单位办理现房销售备案，即现房销售最低规模为栋，便于后期的销售和管理。</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10.丰2023-7号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11.丰2023-7号地块由非泉州市丰泽区的法人竞得的，须在泉州市丰泽区注册成立新公司，所有税收应在当地缴纳。</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12.按照《泉州市人民政府办公室关于印发泉州市2023年促进房地产市场平稳健康发展工作方案的通知》（泉政办〔2023〕11号）要求，上述地块充电桩车位配建比例不低于50%。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13.</w:t>
      </w:r>
      <w:r>
        <w:rPr>
          <w:rFonts w:hint="eastAsia" w:ascii="Times New Roman" w:eastAsia="仿宋"/>
          <w:color w:val="auto"/>
          <w:szCs w:val="32"/>
          <w:lang w:eastAsia="zh-CN"/>
        </w:rPr>
        <w:t>丰</w:t>
      </w:r>
      <w:r>
        <w:rPr>
          <w:rFonts w:hint="eastAsia" w:ascii="Times New Roman" w:eastAsia="仿宋"/>
          <w:color w:val="auto"/>
          <w:szCs w:val="32"/>
          <w:lang w:val="en-US" w:eastAsia="zh-CN"/>
        </w:rPr>
        <w:t>2023-7号地块可按照《泉州市中心城区开展立体生态住宅试点实施方案（试行）》要求作为立体生态住宅项目</w:t>
      </w:r>
      <w:r>
        <w:rPr>
          <w:rFonts w:hint="eastAsia" w:ascii="Times New Roman" w:eastAsia="仿宋"/>
          <w:color w:val="auto"/>
          <w:szCs w:val="32"/>
        </w:rPr>
        <w:t>。</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val="en-US" w:eastAsia="zh-CN"/>
        </w:rPr>
        <w:t>4</w:t>
      </w:r>
      <w:r>
        <w:rPr>
          <w:rFonts w:hint="eastAsia" w:ascii="Times New Roman" w:eastAsia="仿宋"/>
          <w:color w:val="auto"/>
          <w:szCs w:val="32"/>
        </w:rPr>
        <w:t>.按照《泉州市住房和城乡建设局等三部门关于加快推动新型建筑工业化发展的通知》（泉建规〔2022〕3号）要求，上述地块的装配式建筑应占新建建筑面积40%以上。</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val="en-US" w:eastAsia="zh-CN"/>
        </w:rPr>
        <w:t>5</w:t>
      </w:r>
      <w:r>
        <w:rPr>
          <w:rFonts w:hint="eastAsia" w:ascii="Times New Roman" w:eastAsia="仿宋"/>
          <w:color w:val="auto"/>
          <w:szCs w:val="32"/>
        </w:rPr>
        <w:t>.按照《泉州市人民政府关于印发泉州市促进房地产市场持续健康稳定发展若干意见（2018—2025年）的通知》（泉政文〔2018〕87号）要求，上述地块的建筑单体质量要求达到泉州市优质工程及以上。</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val="en-US" w:eastAsia="zh-CN"/>
        </w:rPr>
        <w:t>6</w:t>
      </w:r>
      <w:bookmarkStart w:id="2" w:name="_GoBack"/>
      <w:bookmarkEnd w:id="2"/>
      <w:r>
        <w:rPr>
          <w:rFonts w:hint="eastAsia" w:ascii="Times New Roman" w:eastAsia="仿宋"/>
          <w:color w:val="auto"/>
          <w:szCs w:val="32"/>
        </w:rPr>
        <w:t xml:space="preserve">.按照《泉州市人民政府办公室转发泉州市住房和城乡建设局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    </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对于出现同一企业及其控股的各个公司报名参与同一宗地竞买，该类竞买人的竞买资格将按照各竞买人提交完整报名材料的先后顺序确定。经审查，最先提交完整报名材料（按规定交纳竞买保证金且符合申请条件）的竞买人享有竞买资格；同时递交完整报名材料且确定符合申请条件的，以保证金交纳时间在前的确定享有竞买资格。最终确定享有竞买资格的竞买人将发给《竞买资格确认书》，确认书一经发出，其余竞买人均不享有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2</w:t>
      </w:r>
      <w:r>
        <w:rPr>
          <w:rFonts w:ascii="Times New Roman" w:eastAsia="仿宋"/>
          <w:color w:val="auto"/>
          <w:szCs w:val="32"/>
        </w:rPr>
        <w:t>月</w:t>
      </w:r>
      <w:r>
        <w:rPr>
          <w:rFonts w:hint="eastAsia" w:ascii="Times New Roman" w:eastAsia="仿宋"/>
          <w:color w:val="auto"/>
          <w:szCs w:val="32"/>
        </w:rPr>
        <w:t>21</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丰2023-7号</w:t>
      </w:r>
      <w:r>
        <w:rPr>
          <w:rFonts w:ascii="Times New Roman" w:eastAsia="仿宋"/>
          <w:color w:val="auto"/>
          <w:szCs w:val="32"/>
        </w:rPr>
        <w:t>地块的竞买保证金为人民币（大写）</w:t>
      </w:r>
      <w:r>
        <w:rPr>
          <w:rFonts w:hint="eastAsia" w:ascii="Times New Roman" w:eastAsia="仿宋"/>
          <w:color w:val="auto"/>
          <w:szCs w:val="32"/>
        </w:rPr>
        <w:t>肆亿贰仟万</w:t>
      </w:r>
      <w:r>
        <w:rPr>
          <w:rFonts w:ascii="Times New Roman" w:eastAsia="仿宋"/>
          <w:color w:val="auto"/>
          <w:szCs w:val="32"/>
        </w:rPr>
        <w:t>元整（￥</w:t>
      </w:r>
      <w:r>
        <w:rPr>
          <w:rFonts w:hint="eastAsia" w:ascii="Times New Roman" w:eastAsia="仿宋"/>
          <w:color w:val="auto"/>
          <w:szCs w:val="32"/>
        </w:rPr>
        <w:t>420</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1</w:t>
      </w:r>
      <w:r>
        <w:rPr>
          <w:rFonts w:ascii="Times New Roman" w:eastAsia="仿宋"/>
          <w:color w:val="auto"/>
          <w:szCs w:val="32"/>
        </w:rPr>
        <w:t>月</w:t>
      </w:r>
      <w:r>
        <w:rPr>
          <w:rFonts w:hint="eastAsia" w:ascii="Times New Roman" w:eastAsia="仿宋"/>
          <w:color w:val="auto"/>
          <w:szCs w:val="32"/>
        </w:rPr>
        <w:t>22</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2</w:t>
      </w:r>
      <w:r>
        <w:rPr>
          <w:rFonts w:ascii="Times New Roman" w:eastAsia="仿宋"/>
          <w:color w:val="auto"/>
          <w:szCs w:val="32"/>
        </w:rPr>
        <w:t>月</w:t>
      </w:r>
      <w:r>
        <w:rPr>
          <w:rFonts w:hint="eastAsia" w:ascii="Times New Roman" w:eastAsia="仿宋"/>
          <w:color w:val="auto"/>
          <w:szCs w:val="32"/>
        </w:rPr>
        <w:t>21</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w:t>
      </w:r>
      <w:r>
        <w:rPr>
          <w:rFonts w:hint="eastAsia" w:ascii="Times New Roman" w:eastAsia="仿宋"/>
          <w:color w:val="auto"/>
          <w:szCs w:val="32"/>
        </w:rPr>
        <w:t>.</w:t>
      </w:r>
      <w:r>
        <w:rPr>
          <w:rFonts w:ascii="Times New Roman" w:eastAsia="仿宋"/>
          <w:color w:val="auto"/>
          <w:szCs w:val="32"/>
        </w:rPr>
        <w:t>国有建设用地使用权出让公告(泉自然资告字〔202</w:t>
      </w:r>
      <w:r>
        <w:rPr>
          <w:rFonts w:hint="eastAsia" w:ascii="Times New Roman" w:eastAsia="仿宋"/>
          <w:color w:val="auto"/>
          <w:szCs w:val="32"/>
        </w:rPr>
        <w:t>4</w:t>
      </w:r>
      <w:r>
        <w:rPr>
          <w:rFonts w:ascii="Times New Roman" w:eastAsia="仿宋"/>
          <w:color w:val="auto"/>
          <w:szCs w:val="32"/>
        </w:rPr>
        <w:t>〕</w:t>
      </w:r>
      <w:r>
        <w:rPr>
          <w:rFonts w:hint="eastAsia" w:ascii="Times New Roman" w:eastAsia="仿宋"/>
          <w:color w:val="auto"/>
          <w:szCs w:val="32"/>
        </w:rPr>
        <w:t>1</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w:t>
      </w:r>
      <w:r>
        <w:rPr>
          <w:rFonts w:hint="eastAsia" w:ascii="Times New Roman" w:eastAsia="仿宋"/>
          <w:color w:val="auto"/>
          <w:szCs w:val="32"/>
        </w:rPr>
        <w:t>.</w:t>
      </w:r>
      <w:r>
        <w:rPr>
          <w:rFonts w:ascii="Times New Roman" w:eastAsia="仿宋"/>
          <w:color w:val="auto"/>
          <w:szCs w:val="32"/>
        </w:rPr>
        <w:t>泉州市国有建设用地使用权拍卖出让须知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rPr>
        <w:t>.</w:t>
      </w:r>
      <w:r>
        <w:rPr>
          <w:rFonts w:ascii="Times New Roman" w:eastAsia="仿宋"/>
          <w:color w:val="auto"/>
          <w:szCs w:val="32"/>
        </w:rPr>
        <w:t>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w:t>
      </w:r>
      <w:r>
        <w:rPr>
          <w:rFonts w:hint="eastAsia" w:ascii="Times New Roman" w:eastAsia="仿宋"/>
          <w:color w:val="auto"/>
          <w:szCs w:val="32"/>
        </w:rPr>
        <w:t>.</w:t>
      </w:r>
      <w:r>
        <w:rPr>
          <w:rFonts w:ascii="Times New Roman" w:eastAsia="仿宋"/>
          <w:color w:val="auto"/>
          <w:szCs w:val="32"/>
        </w:rPr>
        <w:t>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w:t>
      </w:r>
      <w:r>
        <w:rPr>
          <w:rFonts w:hint="eastAsia" w:ascii="Times New Roman" w:eastAsia="仿宋"/>
          <w:color w:val="auto"/>
          <w:szCs w:val="32"/>
        </w:rPr>
        <w:t>.</w:t>
      </w:r>
      <w:r>
        <w:rPr>
          <w:rFonts w:ascii="Times New Roman" w:eastAsia="仿宋"/>
          <w:color w:val="auto"/>
          <w:szCs w:val="32"/>
        </w:rPr>
        <w:t>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w:t>
      </w:r>
      <w:r>
        <w:rPr>
          <w:rFonts w:hint="eastAsia" w:ascii="Times New Roman" w:eastAsia="仿宋"/>
          <w:color w:val="auto"/>
          <w:szCs w:val="32"/>
        </w:rPr>
        <w:t>.</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w:t>
      </w:r>
      <w:r>
        <w:rPr>
          <w:rFonts w:hint="eastAsia" w:ascii="Times New Roman" w:eastAsia="仿宋"/>
          <w:color w:val="auto"/>
          <w:szCs w:val="32"/>
        </w:rPr>
        <w:t>.</w:t>
      </w:r>
      <w:r>
        <w:rPr>
          <w:rFonts w:ascii="Times New Roman" w:eastAsia="仿宋"/>
          <w:color w:val="auto"/>
          <w:szCs w:val="32"/>
        </w:rPr>
        <w:t>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w:t>
      </w:r>
      <w:r>
        <w:rPr>
          <w:rFonts w:hint="eastAsia" w:ascii="Times New Roman" w:eastAsia="仿宋"/>
          <w:color w:val="auto"/>
          <w:szCs w:val="32"/>
        </w:rPr>
        <w:t>.</w:t>
      </w:r>
      <w:r>
        <w:rPr>
          <w:rFonts w:ascii="Times New Roman" w:eastAsia="仿宋"/>
          <w:color w:val="auto"/>
          <w:szCs w:val="32"/>
        </w:rPr>
        <w:t>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w:t>
      </w:r>
      <w:r>
        <w:rPr>
          <w:rFonts w:hint="eastAsia" w:ascii="Times New Roman" w:eastAsia="仿宋"/>
          <w:color w:val="auto"/>
          <w:szCs w:val="32"/>
        </w:rPr>
        <w:t>.</w:t>
      </w:r>
      <w:r>
        <w:rPr>
          <w:rFonts w:ascii="Times New Roman" w:eastAsia="仿宋"/>
          <w:color w:val="auto"/>
          <w:szCs w:val="32"/>
        </w:rPr>
        <w:t>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w:t>
      </w:r>
      <w:r>
        <w:rPr>
          <w:rFonts w:hint="eastAsia" w:ascii="Times New Roman" w:eastAsia="仿宋"/>
          <w:color w:val="auto"/>
          <w:szCs w:val="32"/>
        </w:rPr>
        <w:t>.</w:t>
      </w:r>
      <w:r>
        <w:rPr>
          <w:rFonts w:ascii="Times New Roman" w:eastAsia="仿宋"/>
          <w:color w:val="auto"/>
          <w:szCs w:val="32"/>
        </w:rPr>
        <w:t>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w:t>
      </w:r>
      <w:r>
        <w:rPr>
          <w:rFonts w:hint="eastAsia" w:ascii="Times New Roman" w:eastAsia="仿宋"/>
          <w:color w:val="auto"/>
          <w:szCs w:val="32"/>
        </w:rPr>
        <w:t>.</w:t>
      </w:r>
      <w:r>
        <w:rPr>
          <w:rFonts w:ascii="Times New Roman" w:eastAsia="仿宋"/>
          <w:color w:val="auto"/>
          <w:szCs w:val="32"/>
        </w:rPr>
        <w:t>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12</w:t>
      </w:r>
      <w:r>
        <w:rPr>
          <w:rFonts w:hint="eastAsia" w:ascii="Times New Roman" w:eastAsia="仿宋"/>
          <w:color w:val="auto"/>
          <w:szCs w:val="32"/>
        </w:rPr>
        <w:t>.</w:t>
      </w:r>
      <w:r>
        <w:rPr>
          <w:rFonts w:ascii="Times New Roman" w:eastAsia="仿宋"/>
          <w:color w:val="auto"/>
          <w:szCs w:val="32"/>
        </w:rPr>
        <w:t>《住宅用地竞买保证金/成交价款来源情况申报表》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2</w:t>
      </w:r>
      <w:r>
        <w:rPr>
          <w:rFonts w:ascii="Times New Roman" w:eastAsia="仿宋"/>
          <w:color w:val="auto"/>
          <w:szCs w:val="32"/>
        </w:rPr>
        <w:t>月</w:t>
      </w:r>
      <w:r>
        <w:rPr>
          <w:rFonts w:hint="eastAsia" w:ascii="Times New Roman" w:eastAsia="仿宋"/>
          <w:color w:val="auto"/>
          <w:szCs w:val="32"/>
        </w:rPr>
        <w:t>21</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1</w:t>
      </w:r>
      <w:r>
        <w:rPr>
          <w:rFonts w:ascii="Times New Roman" w:eastAsia="仿宋"/>
          <w:color w:val="auto"/>
          <w:szCs w:val="32"/>
        </w:rPr>
        <w:t>月</w:t>
      </w:r>
      <w:r>
        <w:rPr>
          <w:rFonts w:hint="eastAsia" w:ascii="Times New Roman" w:eastAsia="仿宋"/>
          <w:color w:val="auto"/>
          <w:szCs w:val="32"/>
        </w:rPr>
        <w:t>25</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1</w:t>
      </w:r>
      <w:r>
        <w:rPr>
          <w:rFonts w:ascii="Times New Roman" w:eastAsia="仿宋"/>
          <w:color w:val="auto"/>
          <w:szCs w:val="32"/>
        </w:rPr>
        <w:t>月</w:t>
      </w:r>
      <w:r>
        <w:rPr>
          <w:rFonts w:hint="eastAsia" w:ascii="Times New Roman" w:eastAsia="仿宋"/>
          <w:color w:val="auto"/>
          <w:szCs w:val="32"/>
        </w:rPr>
        <w:t>26</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丰2023-7</w:t>
      </w:r>
      <w:r>
        <w:rPr>
          <w:rFonts w:ascii="Times New Roman" w:eastAsia="仿宋"/>
          <w:color w:val="auto"/>
          <w:szCs w:val="32"/>
        </w:rPr>
        <w:t>号地块，起叫价为人民币（大写）</w:t>
      </w:r>
      <w:r>
        <w:rPr>
          <w:rFonts w:hint="eastAsia" w:ascii="Times New Roman" w:eastAsia="仿宋"/>
          <w:color w:val="auto"/>
          <w:szCs w:val="32"/>
        </w:rPr>
        <w:t>贰拾壹亿</w:t>
      </w:r>
      <w:r>
        <w:rPr>
          <w:rFonts w:ascii="Times New Roman" w:eastAsia="仿宋"/>
          <w:color w:val="auto"/>
          <w:szCs w:val="32"/>
        </w:rPr>
        <w:t>元整（￥</w:t>
      </w:r>
      <w:r>
        <w:rPr>
          <w:rFonts w:hint="eastAsia" w:ascii="Times New Roman" w:eastAsia="仿宋"/>
          <w:color w:val="auto"/>
          <w:szCs w:val="32"/>
        </w:rPr>
        <w:t>2,100,00</w:t>
      </w:r>
      <w:r>
        <w:rPr>
          <w:rFonts w:ascii="Times New Roman" w:eastAsia="仿宋"/>
          <w:color w:val="auto"/>
          <w:szCs w:val="32"/>
        </w:rPr>
        <w:t>0,000.00），增价幅度为人民币（大写）</w:t>
      </w:r>
      <w:r>
        <w:rPr>
          <w:rFonts w:hint="eastAsia" w:ascii="Times New Roman" w:eastAsia="仿宋"/>
          <w:color w:val="auto"/>
          <w:szCs w:val="32"/>
        </w:rPr>
        <w:t>柒佰万</w:t>
      </w:r>
      <w:r>
        <w:rPr>
          <w:rFonts w:ascii="Times New Roman" w:eastAsia="仿宋"/>
          <w:color w:val="auto"/>
          <w:szCs w:val="32"/>
        </w:rPr>
        <w:t>元整（￥</w:t>
      </w:r>
      <w:r>
        <w:rPr>
          <w:rFonts w:hint="eastAsia" w:ascii="Times New Roman" w:eastAsia="仿宋"/>
          <w:color w:val="auto"/>
          <w:szCs w:val="32"/>
        </w:rPr>
        <w:t>7</w:t>
      </w:r>
      <w:r>
        <w:rPr>
          <w:rFonts w:ascii="Times New Roman" w:eastAsia="仿宋"/>
          <w:color w:val="auto"/>
          <w:szCs w:val="32"/>
        </w:rPr>
        <w:t>,</w:t>
      </w:r>
      <w:r>
        <w:rPr>
          <w:rFonts w:hint="eastAsia" w:ascii="Times New Roman" w:eastAsia="仿宋"/>
          <w:color w:val="auto"/>
          <w:szCs w:val="32"/>
        </w:rPr>
        <w:t>00</w:t>
      </w:r>
      <w:r>
        <w:rPr>
          <w:rFonts w:ascii="Times New Roman" w:eastAsia="仿宋"/>
          <w:color w:val="auto"/>
          <w:szCs w:val="32"/>
        </w:rPr>
        <w:t>0,000.00）</w:t>
      </w:r>
      <w:r>
        <w:rPr>
          <w:rFonts w:hint="eastAsia" w:ascii="Times New Roman" w:eastAsia="仿宋"/>
          <w:color w:val="auto"/>
          <w:szCs w:val="32"/>
        </w:rPr>
        <w:t>或700万元整数倍金额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或相应宗地的出让价格上限。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10．若竞买人出价达到相应宗地出让价格上限，不再接受更高报价，由拍卖主持人宣布转为由愿意出价相应宗地出让上限价的竞买人</w:t>
      </w:r>
      <w:r>
        <w:rPr>
          <w:rFonts w:hint="eastAsia" w:ascii="Times New Roman" w:eastAsia="仿宋"/>
          <w:color w:val="auto"/>
          <w:szCs w:val="32"/>
        </w:rPr>
        <w:t>转为竞现房销售建筑面积，竞现房销售阶段起叫竞报现房销售建筑面积占可售住宅建筑面积为2%，增加幅度为不少于可售住宅建筑面积2%或2%的整数倍。竞买人报出的现房销售建筑面积未达可售住宅建筑面积100%时，按报出现房销售建筑面积最多者得的原则确定竞得人；</w:t>
      </w:r>
      <w:r>
        <w:rPr>
          <w:rFonts w:ascii="Times New Roman" w:eastAsia="仿宋"/>
          <w:color w:val="auto"/>
          <w:szCs w:val="32"/>
        </w:rPr>
        <w:t>若竞买人</w:t>
      </w:r>
      <w:r>
        <w:rPr>
          <w:rFonts w:hint="eastAsia" w:ascii="Times New Roman" w:eastAsia="仿宋"/>
          <w:color w:val="auto"/>
          <w:szCs w:val="32"/>
        </w:rPr>
        <w:t>报出最高现房销售建筑面积达可售住宅建筑面积100%时</w:t>
      </w:r>
      <w:r>
        <w:rPr>
          <w:rFonts w:ascii="Times New Roman" w:eastAsia="仿宋"/>
          <w:color w:val="auto"/>
          <w:szCs w:val="32"/>
        </w:rPr>
        <w:t>，由拍卖主持人宣布转为由愿意</w:t>
      </w:r>
      <w:r>
        <w:rPr>
          <w:rFonts w:hint="eastAsia" w:ascii="Times New Roman" w:eastAsia="仿宋"/>
          <w:color w:val="auto"/>
          <w:szCs w:val="32"/>
        </w:rPr>
        <w:t>接受该建筑面积的</w:t>
      </w:r>
      <w:r>
        <w:rPr>
          <w:rFonts w:ascii="Times New Roman" w:eastAsia="仿宋"/>
          <w:color w:val="auto"/>
          <w:szCs w:val="32"/>
        </w:rPr>
        <w:t>竞买人报名参加摇号，并宣读《摇号规则》，同时由记录人进行登记。</w:t>
      </w:r>
    </w:p>
    <w:p>
      <w:pPr>
        <w:spacing w:line="520" w:lineRule="exact"/>
        <w:ind w:firstLine="640" w:firstLineChars="200"/>
        <w:rPr>
          <w:rFonts w:ascii="Times New Roman" w:eastAsia="仿宋"/>
          <w:color w:val="auto"/>
          <w:szCs w:val="32"/>
        </w:rPr>
      </w:pPr>
      <w:r>
        <w:rPr>
          <w:rFonts w:ascii="Times New Roman" w:eastAsia="仿宋"/>
          <w:color w:val="auto"/>
          <w:szCs w:val="32"/>
        </w:rPr>
        <w:t>11．拍卖主持人对登记的竞买人通过随机摇号的方式确定竞买人，并由记录人做好相关记录。</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（一）不设保留价，当竞买人出价达到相应宗地出让上限价时，不再接受更高报价，对于有意向的多个竞买人，</w:t>
      </w:r>
      <w:r>
        <w:rPr>
          <w:rFonts w:hint="eastAsia" w:ascii="Times New Roman" w:eastAsia="仿宋"/>
          <w:color w:val="auto"/>
          <w:szCs w:val="32"/>
        </w:rPr>
        <w:t>转为竞现房销售建筑面积。</w:t>
      </w:r>
      <w:r>
        <w:rPr>
          <w:rFonts w:ascii="Times New Roman" w:eastAsia="仿宋"/>
          <w:color w:val="auto"/>
          <w:szCs w:val="32"/>
        </w:rPr>
        <w:t>当</w:t>
      </w:r>
      <w:r>
        <w:rPr>
          <w:rFonts w:hint="eastAsia" w:ascii="Times New Roman" w:eastAsia="仿宋"/>
          <w:color w:val="auto"/>
          <w:szCs w:val="32"/>
        </w:rPr>
        <w:t>竞买人报出最高现房销售建筑面积达可售住宅建筑面积100%时</w:t>
      </w:r>
      <w:r>
        <w:rPr>
          <w:rFonts w:ascii="Times New Roman" w:eastAsia="仿宋"/>
          <w:color w:val="auto"/>
          <w:szCs w:val="32"/>
        </w:rPr>
        <w:t>，对于有意向的多个竞买人，采取摇号方式确定竞得人。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（二）竞买人以举牌方式应价，也可以报价，除相应宗地上限价外，报价的加价幅度不得小于拍卖主持人宣布或调整的增价幅度。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（三）本次拍卖不设保留价。</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（四）竞买人凭《竞买资格确认书》和法定代表人（自然人、受委托代理人）身份证件领取竞买号牌。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（五）</w:t>
      </w: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2</w:t>
      </w:r>
      <w:r>
        <w:rPr>
          <w:rFonts w:ascii="Times New Roman" w:eastAsia="仿宋"/>
          <w:color w:val="auto"/>
          <w:szCs w:val="32"/>
        </w:rPr>
        <w:t>月</w:t>
      </w:r>
      <w:r>
        <w:rPr>
          <w:rFonts w:hint="eastAsia" w:ascii="Times New Roman" w:eastAsia="仿宋"/>
          <w:color w:val="auto"/>
          <w:szCs w:val="32"/>
        </w:rPr>
        <w:t>22</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kern w:val="10"/>
          <w:szCs w:val="32"/>
        </w:rPr>
        <w:t>6</w:t>
      </w:r>
      <w:r>
        <w:rPr>
          <w:rFonts w:ascii="Times New Roman" w:eastAsia="仿宋"/>
          <w:color w:val="auto"/>
          <w:kern w:val="10"/>
          <w:szCs w:val="32"/>
        </w:rPr>
        <w:t>个月内交清</w:t>
      </w:r>
      <w:r>
        <w:rPr>
          <w:rFonts w:hint="eastAsia" w:ascii="Times New Roman" w:eastAsia="仿宋"/>
          <w:color w:val="auto"/>
          <w:kern w:val="10"/>
          <w:szCs w:val="32"/>
        </w:rPr>
        <w:t>。</w:t>
      </w:r>
    </w:p>
    <w:p>
      <w:pPr>
        <w:spacing w:line="579" w:lineRule="exact"/>
        <w:ind w:firstLine="636" w:firstLineChars="199"/>
        <w:rPr>
          <w:rFonts w:ascii="Times New Roman" w:eastAsia="仿宋"/>
          <w:color w:val="auto"/>
          <w:kern w:val="10"/>
          <w:szCs w:val="32"/>
        </w:rPr>
      </w:pPr>
      <w:r>
        <w:rPr>
          <w:rFonts w:ascii="Times New Roman" w:eastAsia="仿宋"/>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1</w:t>
      </w:r>
      <w:r>
        <w:rPr>
          <w:rFonts w:ascii="Times New Roman" w:eastAsia="仿宋"/>
          <w:color w:val="auto"/>
          <w:szCs w:val="32"/>
        </w:rPr>
        <w:t>月</w:t>
      </w:r>
      <w:r>
        <w:rPr>
          <w:rFonts w:hint="eastAsia" w:ascii="Times New Roman" w:eastAsia="仿宋"/>
          <w:color w:val="auto"/>
          <w:szCs w:val="32"/>
          <w:lang w:val="en-US" w:eastAsia="zh-CN"/>
        </w:rPr>
        <w:t>20</w:t>
      </w:r>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kZWU4ZDhlMDRlYThlZDUyYmQ5MTdlMTRhMTE3ODcifQ=="/>
  </w:docVars>
  <w:rsids>
    <w:rsidRoot w:val="00172A27"/>
    <w:rsid w:val="000016B5"/>
    <w:rsid w:val="00002AE4"/>
    <w:rsid w:val="00003F9E"/>
    <w:rsid w:val="00006DED"/>
    <w:rsid w:val="00007284"/>
    <w:rsid w:val="00012B7E"/>
    <w:rsid w:val="00013B68"/>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30213"/>
    <w:rsid w:val="00230EA6"/>
    <w:rsid w:val="002310EC"/>
    <w:rsid w:val="002640EE"/>
    <w:rsid w:val="002641D3"/>
    <w:rsid w:val="00265439"/>
    <w:rsid w:val="002701FA"/>
    <w:rsid w:val="002747E3"/>
    <w:rsid w:val="00287634"/>
    <w:rsid w:val="00297A19"/>
    <w:rsid w:val="002A493F"/>
    <w:rsid w:val="002A62DB"/>
    <w:rsid w:val="002B0B0C"/>
    <w:rsid w:val="002B2DAB"/>
    <w:rsid w:val="002B5E05"/>
    <w:rsid w:val="002C2C99"/>
    <w:rsid w:val="002C4BE5"/>
    <w:rsid w:val="002C622F"/>
    <w:rsid w:val="002D60EF"/>
    <w:rsid w:val="002D6203"/>
    <w:rsid w:val="002E3F49"/>
    <w:rsid w:val="002F405D"/>
    <w:rsid w:val="002F61D2"/>
    <w:rsid w:val="00305481"/>
    <w:rsid w:val="003137B2"/>
    <w:rsid w:val="00314E95"/>
    <w:rsid w:val="00351390"/>
    <w:rsid w:val="00355A1D"/>
    <w:rsid w:val="00370D21"/>
    <w:rsid w:val="00371488"/>
    <w:rsid w:val="0038165A"/>
    <w:rsid w:val="003824A3"/>
    <w:rsid w:val="003834BA"/>
    <w:rsid w:val="00387C74"/>
    <w:rsid w:val="0039207F"/>
    <w:rsid w:val="00392175"/>
    <w:rsid w:val="003963F2"/>
    <w:rsid w:val="003A1A81"/>
    <w:rsid w:val="003B178E"/>
    <w:rsid w:val="003B4A36"/>
    <w:rsid w:val="003E153A"/>
    <w:rsid w:val="00400F82"/>
    <w:rsid w:val="004013BA"/>
    <w:rsid w:val="00402C58"/>
    <w:rsid w:val="004218FA"/>
    <w:rsid w:val="00423CC5"/>
    <w:rsid w:val="00427340"/>
    <w:rsid w:val="0043783F"/>
    <w:rsid w:val="00451A04"/>
    <w:rsid w:val="00451F9D"/>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183F"/>
    <w:rsid w:val="004F6EA6"/>
    <w:rsid w:val="004F74E4"/>
    <w:rsid w:val="00511B4C"/>
    <w:rsid w:val="00511D8D"/>
    <w:rsid w:val="0051676C"/>
    <w:rsid w:val="00516D6D"/>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A31A6"/>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1079"/>
    <w:rsid w:val="00BD7737"/>
    <w:rsid w:val="00BE5931"/>
    <w:rsid w:val="00BE5A94"/>
    <w:rsid w:val="00C058D9"/>
    <w:rsid w:val="00C119BB"/>
    <w:rsid w:val="00C31BA7"/>
    <w:rsid w:val="00C31C32"/>
    <w:rsid w:val="00C40B94"/>
    <w:rsid w:val="00C41A28"/>
    <w:rsid w:val="00C503D2"/>
    <w:rsid w:val="00C53A6B"/>
    <w:rsid w:val="00C84B93"/>
    <w:rsid w:val="00C979BC"/>
    <w:rsid w:val="00CA1CD9"/>
    <w:rsid w:val="00CA48D8"/>
    <w:rsid w:val="00CA624D"/>
    <w:rsid w:val="00CA6C71"/>
    <w:rsid w:val="00CB24B8"/>
    <w:rsid w:val="00CD5A27"/>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6714"/>
    <w:rsid w:val="00E87845"/>
    <w:rsid w:val="00E9243E"/>
    <w:rsid w:val="00EA1A86"/>
    <w:rsid w:val="00EA7921"/>
    <w:rsid w:val="00EC40B9"/>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A050A0A"/>
    <w:rsid w:val="105D2635"/>
    <w:rsid w:val="10801B04"/>
    <w:rsid w:val="14C702EB"/>
    <w:rsid w:val="157435CA"/>
    <w:rsid w:val="15956862"/>
    <w:rsid w:val="17646D55"/>
    <w:rsid w:val="17861AEB"/>
    <w:rsid w:val="185C25B1"/>
    <w:rsid w:val="1AB322F0"/>
    <w:rsid w:val="1F351FAF"/>
    <w:rsid w:val="1F86792F"/>
    <w:rsid w:val="1FF746DA"/>
    <w:rsid w:val="20772D49"/>
    <w:rsid w:val="20B024A1"/>
    <w:rsid w:val="25205CF8"/>
    <w:rsid w:val="25E129FE"/>
    <w:rsid w:val="27CF39FC"/>
    <w:rsid w:val="29535BBE"/>
    <w:rsid w:val="2B921237"/>
    <w:rsid w:val="2BD42381"/>
    <w:rsid w:val="2E9F243D"/>
    <w:rsid w:val="2EE17814"/>
    <w:rsid w:val="2FEF7D77"/>
    <w:rsid w:val="3566232B"/>
    <w:rsid w:val="3A314ED2"/>
    <w:rsid w:val="3A7D040E"/>
    <w:rsid w:val="3B0E44F4"/>
    <w:rsid w:val="3DB14890"/>
    <w:rsid w:val="3E8C3A26"/>
    <w:rsid w:val="3F73645C"/>
    <w:rsid w:val="412A0477"/>
    <w:rsid w:val="413879BC"/>
    <w:rsid w:val="42041D48"/>
    <w:rsid w:val="45D07A7B"/>
    <w:rsid w:val="45FB48A4"/>
    <w:rsid w:val="48DB5365"/>
    <w:rsid w:val="4BDF7549"/>
    <w:rsid w:val="4DF37842"/>
    <w:rsid w:val="4F46621E"/>
    <w:rsid w:val="53417DE8"/>
    <w:rsid w:val="545D6861"/>
    <w:rsid w:val="551E49A7"/>
    <w:rsid w:val="565C1810"/>
    <w:rsid w:val="58805E0B"/>
    <w:rsid w:val="59FFFD36"/>
    <w:rsid w:val="5A100A69"/>
    <w:rsid w:val="5AC66E6D"/>
    <w:rsid w:val="5B3405A8"/>
    <w:rsid w:val="5B8D7333"/>
    <w:rsid w:val="5C2F2B85"/>
    <w:rsid w:val="5D711BC1"/>
    <w:rsid w:val="5DC00719"/>
    <w:rsid w:val="5E6370DC"/>
    <w:rsid w:val="5E7210B7"/>
    <w:rsid w:val="5EBE1F44"/>
    <w:rsid w:val="5EF61BEE"/>
    <w:rsid w:val="5FFCDEF8"/>
    <w:rsid w:val="5FFD3327"/>
    <w:rsid w:val="61E31F82"/>
    <w:rsid w:val="627AADA0"/>
    <w:rsid w:val="64576185"/>
    <w:rsid w:val="64B6114A"/>
    <w:rsid w:val="654D6D68"/>
    <w:rsid w:val="67835892"/>
    <w:rsid w:val="69287FF9"/>
    <w:rsid w:val="69BA7FBC"/>
    <w:rsid w:val="69EF4473"/>
    <w:rsid w:val="69F5315F"/>
    <w:rsid w:val="6C5E3ED7"/>
    <w:rsid w:val="6D601559"/>
    <w:rsid w:val="6DC95D5B"/>
    <w:rsid w:val="6F4A2587"/>
    <w:rsid w:val="6F565F34"/>
    <w:rsid w:val="6F817756"/>
    <w:rsid w:val="6FF71D1C"/>
    <w:rsid w:val="706C57A0"/>
    <w:rsid w:val="70856287"/>
    <w:rsid w:val="71CC5BD1"/>
    <w:rsid w:val="735B762D"/>
    <w:rsid w:val="75BE6923"/>
    <w:rsid w:val="75DE796D"/>
    <w:rsid w:val="772C6592"/>
    <w:rsid w:val="7C614DBC"/>
    <w:rsid w:val="7CED3003"/>
    <w:rsid w:val="7CFE5411"/>
    <w:rsid w:val="7DC16531"/>
    <w:rsid w:val="7DFD2408"/>
    <w:rsid w:val="7F376B92"/>
    <w:rsid w:val="B6F5B665"/>
    <w:rsid w:val="BF2FBA49"/>
    <w:rsid w:val="F33752BE"/>
    <w:rsid w:val="FD9FE1A1"/>
    <w:rsid w:val="FED7EB8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15</Pages>
  <Words>8386</Words>
  <Characters>8930</Characters>
  <Lines>64</Lines>
  <Paragraphs>18</Paragraphs>
  <TotalTime>0</TotalTime>
  <ScaleCrop>false</ScaleCrop>
  <LinksUpToDate>false</LinksUpToDate>
  <CharactersWithSpaces>8940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2019-12-08T07:04:00Z</dcterms:created>
  <dc:creator>未羽</dc:creator>
  <cp:lastModifiedBy>会唱歌的天使</cp:lastModifiedBy>
  <cp:lastPrinted>2021-11-27T15:02:00Z</cp:lastPrinted>
  <dcterms:modified xsi:type="dcterms:W3CDTF">2024-01-19T07:13:13Z</dcterms:modified>
  <dc:title>国有建设用地使用权拍卖出让须知</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147DB053FB7B4A7CAC58A0FE60B8BF0F</vt:lpwstr>
  </property>
</Properties>
</file>