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eastAsia="方正小标宋简体"/>
          <w:bCs/>
          <w:color w:val="auto"/>
          <w:sz w:val="44"/>
          <w:szCs w:val="44"/>
        </w:rPr>
      </w:pPr>
      <w:r>
        <w:rPr>
          <w:rFonts w:hint="eastAsia" w:ascii="Times New Roman" w:eastAsia="方正小标宋简体"/>
          <w:bCs/>
          <w:color w:val="auto"/>
          <w:sz w:val="44"/>
          <w:szCs w:val="44"/>
        </w:rPr>
        <w:t>丰2023-34号</w:t>
      </w:r>
      <w:r>
        <w:rPr>
          <w:rFonts w:ascii="Times New Roman" w:eastAsia="方正小标宋简体"/>
          <w:bCs/>
          <w:color w:val="auto"/>
          <w:sz w:val="44"/>
          <w:szCs w:val="44"/>
        </w:rPr>
        <w:t>地块国有建设用地使用权</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丰2023-34号地块</w:t>
      </w:r>
      <w:r>
        <w:rPr>
          <w:rFonts w:ascii="Times New Roman" w:eastAsia="仿宋"/>
          <w:color w:val="auto"/>
          <w:szCs w:val="32"/>
        </w:rPr>
        <w:t>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w:t>
      </w:r>
      <w:r>
        <w:rPr>
          <w:rFonts w:hint="eastAsia" w:ascii="Times New Roman" w:eastAsia="仿宋"/>
          <w:color w:val="auto"/>
          <w:szCs w:val="32"/>
        </w:rPr>
        <w:t>人</w:t>
      </w:r>
      <w:r>
        <w:rPr>
          <w:rFonts w:ascii="Times New Roman" w:eastAsia="仿宋"/>
          <w:color w:val="auto"/>
          <w:szCs w:val="32"/>
        </w:rPr>
        <w:t>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widowControl/>
        <w:spacing w:line="560" w:lineRule="exact"/>
        <w:ind w:firstLine="600" w:firstLineChars="200"/>
        <w:rPr>
          <w:rFonts w:ascii="Times New Roman" w:eastAsia="仿宋"/>
          <w:color w:val="auto"/>
          <w:sz w:val="30"/>
          <w:szCs w:val="30"/>
        </w:rPr>
      </w:pPr>
      <w:r>
        <w:rPr>
          <w:rFonts w:ascii="Times New Roman" w:eastAsia="仿宋"/>
          <w:color w:val="auto"/>
          <w:sz w:val="30"/>
          <w:szCs w:val="30"/>
        </w:rPr>
        <w:t>拍卖时间：202</w:t>
      </w:r>
      <w:r>
        <w:rPr>
          <w:rFonts w:hint="eastAsia" w:ascii="Times New Roman" w:eastAsia="仿宋"/>
          <w:color w:val="auto"/>
          <w:sz w:val="30"/>
          <w:szCs w:val="30"/>
        </w:rPr>
        <w:t>4</w:t>
      </w:r>
      <w:r>
        <w:rPr>
          <w:rFonts w:ascii="Times New Roman" w:eastAsia="仿宋"/>
          <w:color w:val="auto"/>
          <w:sz w:val="30"/>
          <w:szCs w:val="30"/>
        </w:rPr>
        <w:t>年</w:t>
      </w:r>
      <w:r>
        <w:rPr>
          <w:rFonts w:hint="eastAsia" w:ascii="Times New Roman" w:eastAsia="仿宋"/>
          <w:color w:val="auto"/>
          <w:sz w:val="30"/>
          <w:szCs w:val="30"/>
        </w:rPr>
        <w:t>6</w:t>
      </w:r>
      <w:r>
        <w:rPr>
          <w:rFonts w:ascii="Times New Roman" w:eastAsia="仿宋"/>
          <w:color w:val="auto"/>
          <w:sz w:val="30"/>
          <w:szCs w:val="30"/>
        </w:rPr>
        <w:t>月</w:t>
      </w:r>
      <w:r>
        <w:rPr>
          <w:rFonts w:hint="eastAsia" w:ascii="Times New Roman" w:eastAsia="仿宋"/>
          <w:color w:val="auto"/>
          <w:sz w:val="30"/>
          <w:szCs w:val="30"/>
        </w:rPr>
        <w:t>5</w:t>
      </w:r>
      <w:r>
        <w:rPr>
          <w:rFonts w:ascii="Times New Roman" w:eastAsia="仿宋"/>
          <w:color w:val="auto"/>
          <w:sz w:val="30"/>
          <w:szCs w:val="30"/>
        </w:rPr>
        <w:t>日9：00。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三、本次国有建设用地使用权拍卖出让按照价高者得的原则确定竞得人，不设保留价。</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3" w:firstLineChars="200"/>
        <w:rPr>
          <w:rFonts w:hint="eastAsia" w:ascii="Times New Roman" w:eastAsia="仿宋"/>
          <w:color w:val="auto"/>
          <w:szCs w:val="32"/>
        </w:rPr>
      </w:pPr>
      <w:r>
        <w:rPr>
          <w:rFonts w:hint="eastAsia" w:ascii="Times New Roman" w:eastAsia="仿宋"/>
          <w:b/>
          <w:color w:val="auto"/>
          <w:szCs w:val="32"/>
        </w:rPr>
        <w:t>丰2023-34号地块</w:t>
      </w:r>
      <w:r>
        <w:rPr>
          <w:rFonts w:ascii="Times New Roman" w:eastAsia="仿宋"/>
          <w:b/>
          <w:color w:val="auto"/>
          <w:szCs w:val="32"/>
        </w:rPr>
        <w:t>。</w:t>
      </w:r>
      <w:r>
        <w:rPr>
          <w:rFonts w:ascii="Times New Roman" w:eastAsia="仿宋"/>
          <w:color w:val="auto"/>
          <w:szCs w:val="32"/>
        </w:rPr>
        <w:t>该宗地即</w:t>
      </w:r>
      <w:r>
        <w:rPr>
          <w:rFonts w:hint="eastAsia" w:ascii="Times New Roman" w:eastAsia="仿宋"/>
          <w:color w:val="auto"/>
          <w:szCs w:val="32"/>
        </w:rPr>
        <w:t>2022-58</w:t>
      </w:r>
      <w:r>
        <w:rPr>
          <w:rFonts w:ascii="Times New Roman" w:eastAsia="仿宋"/>
          <w:color w:val="auto"/>
          <w:szCs w:val="32"/>
        </w:rPr>
        <w:t>号储备用地，位于</w:t>
      </w:r>
      <w:r>
        <w:rPr>
          <w:rFonts w:hint="eastAsia" w:ascii="Times New Roman" w:eastAsia="仿宋"/>
          <w:color w:val="auto"/>
          <w:szCs w:val="32"/>
        </w:rPr>
        <w:t>丰泽区东海街道后埔片区，规划海丝大街（东滨大道）南侧、丰海路北侧、经八路西侧，</w:t>
      </w:r>
      <w:r>
        <w:rPr>
          <w:rFonts w:ascii="Times New Roman" w:eastAsia="仿宋"/>
          <w:color w:val="auto"/>
          <w:szCs w:val="32"/>
        </w:rPr>
        <w:t>土地面积</w:t>
      </w:r>
      <w:r>
        <w:rPr>
          <w:rFonts w:hint="eastAsia" w:ascii="Times New Roman" w:eastAsia="仿宋"/>
          <w:color w:val="auto"/>
          <w:szCs w:val="32"/>
        </w:rPr>
        <w:t>31286.67</w:t>
      </w:r>
      <w:r>
        <w:rPr>
          <w:rFonts w:ascii="Times New Roman" w:eastAsia="仿宋"/>
          <w:bCs/>
          <w:color w:val="auto"/>
          <w:szCs w:val="32"/>
        </w:rPr>
        <w:t>平方米（</w:t>
      </w:r>
      <w:r>
        <w:rPr>
          <w:rFonts w:hint="eastAsia" w:ascii="Times New Roman" w:eastAsia="仿宋"/>
          <w:bCs/>
          <w:color w:val="auto"/>
          <w:szCs w:val="32"/>
        </w:rPr>
        <w:t>约</w:t>
      </w:r>
      <w:r>
        <w:rPr>
          <w:rFonts w:ascii="Times New Roman" w:eastAsia="仿宋"/>
          <w:bCs/>
          <w:color w:val="auto"/>
          <w:szCs w:val="32"/>
        </w:rPr>
        <w:t>合</w:t>
      </w:r>
      <w:r>
        <w:rPr>
          <w:rFonts w:hint="eastAsia" w:ascii="Times New Roman" w:eastAsia="仿宋"/>
          <w:bCs/>
          <w:color w:val="auto"/>
          <w:szCs w:val="32"/>
        </w:rPr>
        <w:t>46.93</w:t>
      </w:r>
      <w:r>
        <w:rPr>
          <w:rFonts w:ascii="Times New Roman" w:eastAsia="仿宋"/>
          <w:bCs/>
          <w:color w:val="auto"/>
          <w:szCs w:val="32"/>
        </w:rPr>
        <w:t>亩</w:t>
      </w:r>
      <w:r>
        <w:rPr>
          <w:rFonts w:hint="eastAsia" w:ascii="Times New Roman" w:eastAsia="仿宋"/>
          <w:bCs/>
          <w:color w:val="auto"/>
          <w:szCs w:val="32"/>
        </w:rPr>
        <w:t>，其中</w:t>
      </w:r>
      <w:r>
        <w:rPr>
          <w:rFonts w:hint="eastAsia" w:ascii="Times New Roman" w:eastAsia="仿宋"/>
          <w:color w:val="auto"/>
          <w:szCs w:val="32"/>
        </w:rPr>
        <w:t>沿经八路建设10米宽绿化带约1882平方米，不纳入规划指标计算基数）</w:t>
      </w:r>
      <w:r>
        <w:rPr>
          <w:rFonts w:ascii="Times New Roman" w:eastAsia="仿宋"/>
          <w:bCs/>
          <w:color w:val="auto"/>
          <w:szCs w:val="32"/>
        </w:rPr>
        <w:t>。</w:t>
      </w:r>
      <w:r>
        <w:rPr>
          <w:rFonts w:ascii="Times New Roman" w:eastAsia="仿宋"/>
          <w:color w:val="auto"/>
          <w:szCs w:val="32"/>
        </w:rPr>
        <w:t>规划用途为</w:t>
      </w:r>
      <w:r>
        <w:rPr>
          <w:rFonts w:hint="eastAsia" w:ascii="Times New Roman" w:eastAsia="仿宋"/>
          <w:color w:val="auto"/>
          <w:szCs w:val="32"/>
        </w:rPr>
        <w:t>商业、商务金融和旅馆用地</w:t>
      </w:r>
      <w:r>
        <w:rPr>
          <w:rFonts w:ascii="Times New Roman" w:eastAsia="仿宋"/>
          <w:bCs/>
          <w:color w:val="auto"/>
          <w:szCs w:val="32"/>
        </w:rPr>
        <w:t>。</w:t>
      </w:r>
      <w:r>
        <w:rPr>
          <w:rFonts w:ascii="Times New Roman" w:eastAsia="仿宋"/>
          <w:color w:val="auto"/>
          <w:szCs w:val="32"/>
        </w:rPr>
        <w:t>主要技术指标为：容积率</w:t>
      </w:r>
      <w:r>
        <w:rPr>
          <w:rFonts w:hint="eastAsia" w:ascii="Times New Roman" w:eastAsia="仿宋"/>
          <w:color w:val="auto"/>
          <w:szCs w:val="32"/>
        </w:rPr>
        <w:t>6.5</w:t>
      </w:r>
      <w:r>
        <w:rPr>
          <w:rFonts w:ascii="Times New Roman" w:eastAsia="仿宋"/>
          <w:color w:val="auto"/>
          <w:szCs w:val="32"/>
        </w:rPr>
        <w:t>以下，建筑密度</w:t>
      </w:r>
      <w:r>
        <w:rPr>
          <w:rFonts w:hint="eastAsia" w:ascii="Times New Roman" w:eastAsia="仿宋"/>
          <w:color w:val="auto"/>
          <w:szCs w:val="32"/>
        </w:rPr>
        <w:t>50%</w:t>
      </w:r>
      <w:r>
        <w:rPr>
          <w:rFonts w:ascii="Times New Roman" w:eastAsia="仿宋"/>
          <w:color w:val="auto"/>
          <w:szCs w:val="32"/>
        </w:rPr>
        <w:t>以下，绿地率</w:t>
      </w:r>
      <w:r>
        <w:rPr>
          <w:rFonts w:hint="eastAsia" w:ascii="Times New Roman" w:eastAsia="仿宋"/>
          <w:color w:val="auto"/>
          <w:szCs w:val="32"/>
        </w:rPr>
        <w:t>10%</w:t>
      </w:r>
      <w:r>
        <w:rPr>
          <w:rFonts w:ascii="Times New Roman" w:eastAsia="仿宋"/>
          <w:color w:val="auto"/>
          <w:szCs w:val="32"/>
        </w:rPr>
        <w:t>以上，建筑高度</w:t>
      </w:r>
      <w:r>
        <w:rPr>
          <w:rFonts w:hint="eastAsia" w:ascii="Times New Roman" w:eastAsia="仿宋"/>
          <w:color w:val="auto"/>
          <w:szCs w:val="32"/>
        </w:rPr>
        <w:t>153</w:t>
      </w:r>
      <w:r>
        <w:rPr>
          <w:rFonts w:ascii="Times New Roman" w:eastAsia="仿宋"/>
          <w:color w:val="auto"/>
          <w:szCs w:val="32"/>
        </w:rPr>
        <w:t>米以下</w:t>
      </w:r>
      <w:r>
        <w:rPr>
          <w:rFonts w:hint="eastAsia" w:ascii="Times New Roman" w:eastAsia="仿宋"/>
          <w:color w:val="auto"/>
          <w:szCs w:val="32"/>
        </w:rPr>
        <w:t>，并满足航空净高要求</w:t>
      </w:r>
      <w:r>
        <w:rPr>
          <w:rFonts w:ascii="Times New Roman" w:eastAsia="仿宋"/>
          <w:color w:val="auto"/>
          <w:szCs w:val="32"/>
        </w:rPr>
        <w:t>。建设内容为</w:t>
      </w:r>
      <w:r>
        <w:rPr>
          <w:rFonts w:hint="eastAsia" w:ascii="Times New Roman" w:eastAsia="仿宋"/>
          <w:color w:val="auto"/>
          <w:szCs w:val="32"/>
        </w:rPr>
        <w:t>商业、办公和星级酒店，其中商业计容建筑面积约3万平方米，酒店计容建筑面积约4.5万平方米，其余为办公及配套设施。</w:t>
      </w:r>
    </w:p>
    <w:p>
      <w:pPr>
        <w:spacing w:line="520" w:lineRule="exact"/>
        <w:ind w:firstLine="640" w:firstLineChars="2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丰2023-34号地块商业计容建筑面积3万平方米，其中1.25万平方米商业计容建筑面积可分割销售，1.75万平方米商业计容建筑面积不可分割销售，酒店计容建筑面积约4.5万平方米不可分割销售，其余为办公建筑（可分割销售）及配套设施。</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2.丰2023-34号地块可分割销售商业部分楼面地价7865元/平方米，不可分割销售商业部分楼面地价2977元/平方米，酒店部分楼面地价1805元/平方米，可分割销售办公部分楼面地价4300元/平方米。最终成交地价若高于起拍总价，地价溢价部分计入可分割销售办公部分地价。</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3.丰2023-34号地块由非泉州市丰泽区的法人竞得的，须在泉州市丰泽区注册成立新公司，所有税收应在当地缴纳。</w:t>
      </w:r>
    </w:p>
    <w:p>
      <w:pPr>
        <w:widowControl/>
        <w:spacing w:line="520" w:lineRule="exact"/>
        <w:ind w:firstLine="640" w:firstLineChars="200"/>
        <w:rPr>
          <w:rFonts w:hint="eastAsia"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hint="eastAsia" w:ascii="Times New Roman" w:eastAsia="仿宋"/>
          <w:color w:val="auto"/>
          <w:szCs w:val="32"/>
        </w:rPr>
      </w:pPr>
      <w:r>
        <w:rPr>
          <w:rFonts w:ascii="Times New Roman" w:eastAsia="仿宋"/>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丰2023-34号</w:t>
      </w:r>
      <w:r>
        <w:rPr>
          <w:rFonts w:ascii="Times New Roman" w:eastAsia="仿宋"/>
          <w:color w:val="auto"/>
          <w:szCs w:val="32"/>
        </w:rPr>
        <w:t>地块的竞买保证金为人民币（大写）</w:t>
      </w:r>
      <w:r>
        <w:rPr>
          <w:rFonts w:hint="eastAsia" w:ascii="Times New Roman" w:eastAsia="仿宋"/>
          <w:color w:val="auto"/>
          <w:szCs w:val="32"/>
        </w:rPr>
        <w:t>壹亿伍仟万元</w:t>
      </w:r>
      <w:r>
        <w:rPr>
          <w:rFonts w:ascii="Times New Roman" w:eastAsia="仿宋"/>
          <w:color w:val="auto"/>
          <w:szCs w:val="32"/>
        </w:rPr>
        <w:t>整（￥</w:t>
      </w:r>
      <w:r>
        <w:rPr>
          <w:rFonts w:hint="eastAsia" w:ascii="Times New Roman" w:eastAsia="仿宋"/>
          <w:color w:val="auto"/>
          <w:szCs w:val="32"/>
        </w:rPr>
        <w:t>150</w:t>
      </w:r>
      <w:r>
        <w:rPr>
          <w:rFonts w:ascii="Times New Roman" w:eastAsia="仿宋"/>
          <w:color w:val="auto"/>
          <w:szCs w:val="32"/>
        </w:rPr>
        <w:t>,000,000.00）</w:t>
      </w:r>
      <w:r>
        <w:rPr>
          <w:rFonts w:hint="eastAsia"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16</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w:t>
      </w:r>
      <w:r>
        <w:rPr>
          <w:rFonts w:ascii="Times New Roman" w:eastAsia="仿宋"/>
          <w:color w:val="auto"/>
          <w:szCs w:val="32"/>
        </w:rPr>
        <w:t>国有建设用地使用权出让公告(泉自然资告字〔202</w:t>
      </w:r>
      <w:r>
        <w:rPr>
          <w:rFonts w:hint="eastAsia" w:ascii="Times New Roman" w:eastAsia="仿宋"/>
          <w:color w:val="auto"/>
          <w:szCs w:val="32"/>
        </w:rPr>
        <w:t>4</w:t>
      </w: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w:t>
      </w:r>
      <w:r>
        <w:rPr>
          <w:rFonts w:hint="eastAsia" w:ascii="Times New Roman" w:eastAsia="仿宋"/>
          <w:color w:val="auto"/>
          <w:szCs w:val="32"/>
        </w:rPr>
        <w:t>.</w:t>
      </w:r>
      <w:r>
        <w:rPr>
          <w:rFonts w:ascii="Times New Roman" w:eastAsia="仿宋"/>
          <w:color w:val="auto"/>
          <w:szCs w:val="32"/>
        </w:rPr>
        <w:t>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w:t>
      </w:r>
      <w:r>
        <w:rPr>
          <w:rFonts w:hint="eastAsia" w:ascii="Times New Roman" w:eastAsia="仿宋"/>
          <w:color w:val="auto"/>
          <w:szCs w:val="32"/>
        </w:rPr>
        <w:t>.</w:t>
      </w:r>
      <w:r>
        <w:rPr>
          <w:rFonts w:ascii="Times New Roman" w:eastAsia="仿宋"/>
          <w:color w:val="auto"/>
          <w:szCs w:val="32"/>
        </w:rPr>
        <w:t>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w:t>
      </w:r>
      <w:r>
        <w:rPr>
          <w:rFonts w:hint="eastAsia" w:ascii="Times New Roman" w:eastAsia="仿宋"/>
          <w:color w:val="auto"/>
          <w:szCs w:val="32"/>
        </w:rPr>
        <w:t>.</w:t>
      </w:r>
      <w:r>
        <w:rPr>
          <w:rFonts w:ascii="Times New Roman" w:eastAsia="仿宋"/>
          <w:color w:val="auto"/>
          <w:szCs w:val="32"/>
        </w:rPr>
        <w:t>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w:t>
      </w:r>
      <w:r>
        <w:rPr>
          <w:rFonts w:hint="eastAsia" w:ascii="Times New Roman" w:eastAsia="仿宋"/>
          <w:color w:val="auto"/>
          <w:szCs w:val="32"/>
        </w:rPr>
        <w:t>.</w:t>
      </w:r>
      <w:r>
        <w:rPr>
          <w:rFonts w:ascii="Times New Roman" w:eastAsia="仿宋"/>
          <w:color w:val="auto"/>
          <w:szCs w:val="32"/>
        </w:rPr>
        <w:t>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w:t>
      </w:r>
      <w:r>
        <w:rPr>
          <w:rFonts w:hint="eastAsia" w:ascii="Times New Roman" w:eastAsia="仿宋"/>
          <w:color w:val="auto"/>
          <w:szCs w:val="32"/>
        </w:rPr>
        <w:t>.</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w:t>
      </w:r>
      <w:r>
        <w:rPr>
          <w:rFonts w:hint="eastAsia" w:ascii="Times New Roman" w:eastAsia="仿宋"/>
          <w:color w:val="auto"/>
          <w:szCs w:val="32"/>
        </w:rPr>
        <w:t>.</w:t>
      </w:r>
      <w:r>
        <w:rPr>
          <w:rFonts w:ascii="Times New Roman" w:eastAsia="仿宋"/>
          <w:color w:val="auto"/>
          <w:szCs w:val="32"/>
        </w:rPr>
        <w:t>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w:t>
      </w:r>
      <w:r>
        <w:rPr>
          <w:rFonts w:hint="eastAsia" w:ascii="Times New Roman" w:eastAsia="仿宋"/>
          <w:color w:val="auto"/>
          <w:szCs w:val="32"/>
        </w:rPr>
        <w:t>.</w:t>
      </w:r>
      <w:r>
        <w:rPr>
          <w:rFonts w:ascii="Times New Roman" w:eastAsia="仿宋"/>
          <w:color w:val="auto"/>
          <w:szCs w:val="32"/>
        </w:rPr>
        <w:t>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w:t>
      </w:r>
      <w:r>
        <w:rPr>
          <w:rFonts w:hint="eastAsia" w:ascii="Times New Roman" w:eastAsia="仿宋"/>
          <w:color w:val="auto"/>
          <w:szCs w:val="32"/>
        </w:rPr>
        <w:t>.</w:t>
      </w:r>
      <w:r>
        <w:rPr>
          <w:rFonts w:ascii="Times New Roman" w:eastAsia="仿宋"/>
          <w:color w:val="auto"/>
          <w:szCs w:val="32"/>
        </w:rPr>
        <w:t>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w:t>
      </w:r>
      <w:r>
        <w:rPr>
          <w:rFonts w:hint="eastAsia" w:ascii="Times New Roman" w:eastAsia="仿宋"/>
          <w:color w:val="auto"/>
          <w:szCs w:val="32"/>
        </w:rPr>
        <w:t>.</w:t>
      </w:r>
      <w:r>
        <w:rPr>
          <w:rFonts w:ascii="Times New Roman" w:eastAsia="仿宋"/>
          <w:color w:val="auto"/>
          <w:szCs w:val="32"/>
        </w:rPr>
        <w:t>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w:t>
      </w:r>
      <w:r>
        <w:rPr>
          <w:rFonts w:hint="eastAsia" w:ascii="Times New Roman" w:eastAsia="仿宋"/>
          <w:color w:val="auto"/>
          <w:szCs w:val="32"/>
        </w:rPr>
        <w:t>.</w:t>
      </w:r>
      <w:r>
        <w:rPr>
          <w:rFonts w:ascii="Times New Roman" w:eastAsia="仿宋"/>
          <w:color w:val="auto"/>
          <w:szCs w:val="32"/>
        </w:rPr>
        <w:t>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000000" w:themeColor="text1"/>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20</w:t>
      </w:r>
      <w:r>
        <w:rPr>
          <w:rFonts w:ascii="Times New Roman" w:eastAsia="仿宋"/>
          <w:color w:val="auto"/>
          <w:szCs w:val="32"/>
        </w:rPr>
        <w:t>日至202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21</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丰2023-34</w:t>
      </w:r>
      <w:r>
        <w:rPr>
          <w:rFonts w:ascii="Times New Roman" w:eastAsia="仿宋"/>
          <w:color w:val="auto"/>
          <w:szCs w:val="32"/>
        </w:rPr>
        <w:t>号地块，起叫价为人民币（大写）</w:t>
      </w:r>
      <w:r>
        <w:rPr>
          <w:rFonts w:hint="eastAsia" w:ascii="Times New Roman" w:eastAsia="仿宋"/>
          <w:color w:val="auto"/>
          <w:szCs w:val="32"/>
        </w:rPr>
        <w:t>柒亿叁仟壹佰万元</w:t>
      </w:r>
      <w:r>
        <w:rPr>
          <w:rFonts w:ascii="Times New Roman" w:eastAsia="仿宋"/>
          <w:color w:val="auto"/>
          <w:szCs w:val="32"/>
        </w:rPr>
        <w:t>整（￥</w:t>
      </w:r>
      <w:r>
        <w:rPr>
          <w:rFonts w:hint="eastAsia" w:ascii="Times New Roman" w:eastAsia="仿宋"/>
          <w:color w:val="auto"/>
          <w:szCs w:val="32"/>
        </w:rPr>
        <w:t>731,00</w:t>
      </w:r>
      <w:r>
        <w:rPr>
          <w:rFonts w:ascii="Times New Roman" w:eastAsia="仿宋"/>
          <w:color w:val="auto"/>
          <w:szCs w:val="32"/>
        </w:rPr>
        <w:t>0,000.00），增价幅度为人民币（大写）</w:t>
      </w:r>
      <w:r>
        <w:rPr>
          <w:rFonts w:hint="eastAsia" w:ascii="Times New Roman" w:eastAsia="仿宋"/>
          <w:color w:val="auto"/>
          <w:szCs w:val="32"/>
        </w:rPr>
        <w:t>壹佰万</w:t>
      </w:r>
      <w:r>
        <w:rPr>
          <w:rFonts w:ascii="Times New Roman" w:eastAsia="仿宋"/>
          <w:color w:val="auto"/>
          <w:szCs w:val="32"/>
        </w:rPr>
        <w:t>元整（￥</w:t>
      </w:r>
      <w:r>
        <w:rPr>
          <w:rFonts w:hint="eastAsia" w:ascii="Times New Roman" w:eastAsia="仿宋"/>
          <w:color w:val="auto"/>
          <w:szCs w:val="32"/>
        </w:rPr>
        <w:t>1</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或100万元整数倍金额。</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w:t>
      </w:r>
      <w:r>
        <w:rPr>
          <w:rFonts w:hint="eastAsia" w:ascii="Times New Roman" w:eastAsia="仿宋"/>
          <w:color w:val="auto"/>
          <w:szCs w:val="32"/>
        </w:rPr>
        <w:t>按照价高者得的原则</w:t>
      </w:r>
      <w:r>
        <w:rPr>
          <w:rFonts w:ascii="Times New Roman" w:eastAsia="仿宋"/>
          <w:color w:val="auto"/>
          <w:szCs w:val="32"/>
        </w:rPr>
        <w:t>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w:t>
      </w:r>
      <w:r>
        <w:rPr>
          <w:rFonts w:hint="eastAsia" w:ascii="Times New Roman" w:eastAsia="仿宋"/>
          <w:color w:val="auto"/>
          <w:kern w:val="10"/>
          <w:szCs w:val="32"/>
        </w:rPr>
        <w:t>三</w:t>
      </w:r>
      <w:r>
        <w:rPr>
          <w:rFonts w:ascii="Times New Roman" w:eastAsia="仿宋"/>
          <w:color w:val="auto"/>
          <w:kern w:val="10"/>
          <w:szCs w:val="32"/>
        </w:rPr>
        <w:t>）竞买人凭《竞买资格确认书》和法定代表人（自然人、受委托代理人）身份证件领取竞买号牌。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w:t>
      </w:r>
      <w:r>
        <w:rPr>
          <w:rFonts w:hint="eastAsia" w:ascii="Times New Roman" w:eastAsia="仿宋"/>
          <w:color w:val="auto"/>
          <w:kern w:val="10"/>
          <w:szCs w:val="32"/>
        </w:rPr>
        <w:t>四</w:t>
      </w:r>
      <w:r>
        <w:rPr>
          <w:rFonts w:ascii="Times New Roman" w:eastAsia="仿宋"/>
          <w:color w:val="auto"/>
          <w:kern w:val="10"/>
          <w:szCs w:val="32"/>
        </w:rPr>
        <w:t>）</w:t>
      </w: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5</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rPr>
        <w:t>6</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w:t>
      </w:r>
      <w:r>
        <w:rPr>
          <w:rFonts w:hint="eastAsia" w:ascii="Times New Roman" w:eastAsia="仿宋"/>
          <w:color w:val="auto"/>
          <w:kern w:val="10"/>
          <w:szCs w:val="32"/>
        </w:rPr>
        <w:t>缴</w:t>
      </w:r>
      <w:r>
        <w:rPr>
          <w:rFonts w:ascii="Times New Roman" w:eastAsia="仿宋"/>
          <w:color w:val="auto"/>
          <w:kern w:val="10"/>
          <w:szCs w:val="32"/>
        </w:rPr>
        <w:t>后仍</w:t>
      </w:r>
      <w:r>
        <w:rPr>
          <w:rFonts w:hint="eastAsia" w:ascii="Times New Roman" w:eastAsia="仿宋"/>
          <w:color w:val="auto"/>
          <w:kern w:val="10"/>
          <w:szCs w:val="32"/>
        </w:rPr>
        <w:t>未</w:t>
      </w:r>
      <w:r>
        <w:rPr>
          <w:rFonts w:ascii="Times New Roman" w:eastAsia="仿宋"/>
          <w:color w:val="auto"/>
          <w:kern w:val="10"/>
          <w:szCs w:val="32"/>
        </w:rPr>
        <w:t>支付成交价款的，出让人有权解除合同并可请求违约赔偿，竞得人无权要求</w:t>
      </w:r>
      <w:r>
        <w:rPr>
          <w:rFonts w:hint="eastAsia" w:ascii="Times New Roman" w:eastAsia="仿宋"/>
          <w:color w:val="auto"/>
          <w:kern w:val="10"/>
          <w:szCs w:val="32"/>
        </w:rPr>
        <w:t>退</w:t>
      </w:r>
      <w:r>
        <w:rPr>
          <w:rFonts w:ascii="Times New Roman" w:eastAsia="仿宋"/>
          <w:color w:val="auto"/>
          <w:kern w:val="10"/>
          <w:szCs w:val="32"/>
        </w:rPr>
        <w:t>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4</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w:t>
      </w:r>
      <w:r>
        <w:rPr>
          <w:rFonts w:hint="eastAsia" w:ascii="Times New Roman" w:eastAsia="仿宋"/>
          <w:color w:val="auto"/>
          <w:szCs w:val="32"/>
          <w:lang w:val="en-US" w:eastAsia="zh-CN"/>
        </w:rPr>
        <w:t>4</w:t>
      </w:r>
      <w:bookmarkStart w:id="2" w:name="_GoBack"/>
      <w:bookmarkEnd w:id="2"/>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1"/>
  </w:compat>
  <w:docVars>
    <w:docVar w:name="commondata" w:val="eyJoZGlkIjoiOThkZWU4ZDhlMDRlYThlZDUyYmQ5MTdlMTRhMTE3ODc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566232B"/>
    <w:rsid w:val="3A314ED2"/>
    <w:rsid w:val="3A7D040E"/>
    <w:rsid w:val="3B0E44F4"/>
    <w:rsid w:val="3D15067F"/>
    <w:rsid w:val="3DB14890"/>
    <w:rsid w:val="3E8C3A26"/>
    <w:rsid w:val="3F73645C"/>
    <w:rsid w:val="412A0477"/>
    <w:rsid w:val="42041D48"/>
    <w:rsid w:val="45D07A7B"/>
    <w:rsid w:val="45FB48A4"/>
    <w:rsid w:val="48DB5365"/>
    <w:rsid w:val="4BDF7549"/>
    <w:rsid w:val="4DF37842"/>
    <w:rsid w:val="4F46621E"/>
    <w:rsid w:val="53417DE8"/>
    <w:rsid w:val="545D6861"/>
    <w:rsid w:val="551E49A7"/>
    <w:rsid w:val="565C1810"/>
    <w:rsid w:val="58805E0B"/>
    <w:rsid w:val="59FFFD36"/>
    <w:rsid w:val="5A100A69"/>
    <w:rsid w:val="5AC66E6D"/>
    <w:rsid w:val="5C2F2B85"/>
    <w:rsid w:val="5D711BC1"/>
    <w:rsid w:val="5DC00719"/>
    <w:rsid w:val="5E6370DC"/>
    <w:rsid w:val="5E7210B7"/>
    <w:rsid w:val="5EBE1F44"/>
    <w:rsid w:val="5EF61BEE"/>
    <w:rsid w:val="5FFCDEF8"/>
    <w:rsid w:val="61E31F82"/>
    <w:rsid w:val="627AADA0"/>
    <w:rsid w:val="64B6114A"/>
    <w:rsid w:val="654D6D68"/>
    <w:rsid w:val="67835892"/>
    <w:rsid w:val="69287FF9"/>
    <w:rsid w:val="69BA7FBC"/>
    <w:rsid w:val="69EF4473"/>
    <w:rsid w:val="69F5315F"/>
    <w:rsid w:val="6C5E3ED7"/>
    <w:rsid w:val="6D601559"/>
    <w:rsid w:val="6DC95D5B"/>
    <w:rsid w:val="6F4A2587"/>
    <w:rsid w:val="6F565F34"/>
    <w:rsid w:val="6F817756"/>
    <w:rsid w:val="706C57A0"/>
    <w:rsid w:val="70856287"/>
    <w:rsid w:val="71CC5BD1"/>
    <w:rsid w:val="735B762D"/>
    <w:rsid w:val="75BE6923"/>
    <w:rsid w:val="75DE796D"/>
    <w:rsid w:val="772C6592"/>
    <w:rsid w:val="7C614DBC"/>
    <w:rsid w:val="7CED3003"/>
    <w:rsid w:val="7CFE5411"/>
    <w:rsid w:val="7DC16531"/>
    <w:rsid w:val="7DFD2408"/>
    <w:rsid w:val="B6F5B665"/>
    <w:rsid w:val="F33752BE"/>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12</Pages>
  <Words>5882</Words>
  <Characters>6255</Characters>
  <Lines>45</Lines>
  <Paragraphs>12</Paragraphs>
  <TotalTime>35</TotalTime>
  <ScaleCrop>false</ScaleCrop>
  <LinksUpToDate>false</LinksUpToDate>
  <CharactersWithSpaces>6259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2019-12-08T07:04:00Z</dcterms:created>
  <dc:creator>未羽</dc:creator>
  <cp:lastModifiedBy>会唱歌的天使</cp:lastModifiedBy>
  <cp:lastPrinted>2021-11-27T15:02:00Z</cp:lastPrinted>
  <dcterms:modified xsi:type="dcterms:W3CDTF">2024-05-14T08:32:24Z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147DB053FB7B4A7CAC58A0FE60B8BF0F</vt:lpwstr>
  </property>
</Properties>
</file>