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eastAsia="方正小标宋简体"/>
          <w:bCs/>
          <w:color w:val="auto"/>
          <w:sz w:val="44"/>
          <w:szCs w:val="44"/>
        </w:rPr>
      </w:pPr>
      <w:r>
        <w:rPr>
          <w:rFonts w:hint="eastAsia" w:ascii="Times New Roman" w:eastAsia="方正小标宋简体"/>
          <w:bCs/>
          <w:color w:val="auto"/>
          <w:sz w:val="44"/>
          <w:szCs w:val="44"/>
          <w:lang w:val="en-US" w:eastAsia="zh-CN"/>
        </w:rPr>
        <w:t>鲤</w:t>
      </w:r>
      <w:r>
        <w:rPr>
          <w:rFonts w:hint="eastAsia" w:ascii="Times New Roman" w:eastAsia="方正小标宋简体"/>
          <w:bCs/>
          <w:color w:val="auto"/>
          <w:sz w:val="44"/>
          <w:szCs w:val="44"/>
        </w:rPr>
        <w:t>202</w:t>
      </w:r>
      <w:r>
        <w:rPr>
          <w:rFonts w:hint="eastAsia" w:ascii="Times New Roman" w:eastAsia="方正小标宋简体"/>
          <w:bCs/>
          <w:color w:val="auto"/>
          <w:sz w:val="44"/>
          <w:szCs w:val="44"/>
          <w:lang w:val="en-US" w:eastAsia="zh-CN"/>
        </w:rPr>
        <w:t>4</w:t>
      </w:r>
      <w:r>
        <w:rPr>
          <w:rFonts w:hint="eastAsia" w:ascii="Times New Roman" w:eastAsia="方正小标宋简体"/>
          <w:bCs/>
          <w:color w:val="auto"/>
          <w:sz w:val="44"/>
          <w:szCs w:val="44"/>
        </w:rPr>
        <w:t>-</w:t>
      </w:r>
      <w:r>
        <w:rPr>
          <w:rFonts w:hint="eastAsia" w:ascii="Times New Roman" w:eastAsia="方正小标宋简体"/>
          <w:bCs/>
          <w:color w:val="auto"/>
          <w:sz w:val="44"/>
          <w:szCs w:val="44"/>
          <w:lang w:val="en-US" w:eastAsia="zh-CN"/>
        </w:rPr>
        <w:t>1</w:t>
      </w:r>
      <w:r>
        <w:rPr>
          <w:rFonts w:hint="eastAsia" w:ascii="Times New Roman" w:eastAsia="方正小标宋简体"/>
          <w:bCs/>
          <w:color w:val="auto"/>
          <w:sz w:val="44"/>
          <w:szCs w:val="44"/>
        </w:rPr>
        <w:t>号</w:t>
      </w:r>
      <w:r>
        <w:rPr>
          <w:rFonts w:ascii="Times New Roman" w:eastAsia="方正小标宋简体"/>
          <w:bCs/>
          <w:color w:val="auto"/>
          <w:sz w:val="44"/>
          <w:szCs w:val="44"/>
        </w:rPr>
        <w:t>地块国有建设用地使用权</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拍卖出让须知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ascii="Times New Roman" w:eastAsia="仿宋"/>
          <w:color w:val="auto"/>
          <w:szCs w:val="32"/>
        </w:rPr>
      </w:pPr>
      <w:r>
        <w:rPr>
          <w:rFonts w:ascii="Times New Roman" w:eastAsia="仿宋"/>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eastAsia="仿宋"/>
          <w:color w:val="auto"/>
          <w:szCs w:val="32"/>
          <w:lang w:val="en-US" w:eastAsia="zh-CN"/>
        </w:rPr>
        <w:t>鲤2024-1</w:t>
      </w:r>
      <w:r>
        <w:rPr>
          <w:rFonts w:hint="eastAsia" w:ascii="Times New Roman" w:eastAsia="仿宋"/>
          <w:color w:val="auto"/>
          <w:szCs w:val="32"/>
        </w:rPr>
        <w:t>号地块</w:t>
      </w:r>
      <w:r>
        <w:rPr>
          <w:rFonts w:ascii="Times New Roman" w:eastAsia="仿宋"/>
          <w:color w:val="auto"/>
          <w:szCs w:val="32"/>
        </w:rPr>
        <w:t>国有建设用地使用权。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w:t>
      </w:r>
      <w:r>
        <w:rPr>
          <w:rFonts w:hint="eastAsia" w:ascii="Times New Roman" w:eastAsia="仿宋"/>
          <w:color w:val="auto"/>
          <w:szCs w:val="32"/>
        </w:rPr>
        <w:t>人</w:t>
      </w:r>
      <w:r>
        <w:rPr>
          <w:rFonts w:ascii="Times New Roman" w:eastAsia="仿宋"/>
          <w:color w:val="auto"/>
          <w:szCs w:val="32"/>
        </w:rPr>
        <w:t>的确认。拍卖出让过程委托公证机构进行公证。泉州市产权交易中心有限公司指定的从事拍卖活动的人员为拍卖工作人员。</w:t>
      </w:r>
    </w:p>
    <w:p>
      <w:pPr>
        <w:spacing w:line="520" w:lineRule="exact"/>
        <w:ind w:firstLine="640" w:firstLineChars="200"/>
        <w:rPr>
          <w:rFonts w:ascii="Times New Roman" w:eastAsia="仿宋"/>
          <w:color w:val="auto"/>
          <w:szCs w:val="32"/>
        </w:rPr>
      </w:pPr>
      <w:r>
        <w:rPr>
          <w:rFonts w:ascii="Times New Roman" w:eastAsia="仿宋"/>
          <w:color w:val="auto"/>
          <w:szCs w:val="32"/>
        </w:rPr>
        <w:t>二、拍卖出让活动时间、地点</w:t>
      </w:r>
    </w:p>
    <w:p>
      <w:pPr>
        <w:widowControl/>
        <w:spacing w:line="560" w:lineRule="exact"/>
        <w:ind w:firstLine="600" w:firstLineChars="200"/>
        <w:rPr>
          <w:rFonts w:ascii="Times New Roman" w:eastAsia="仿宋"/>
          <w:color w:val="auto"/>
          <w:sz w:val="30"/>
          <w:szCs w:val="30"/>
        </w:rPr>
      </w:pPr>
      <w:r>
        <w:rPr>
          <w:rFonts w:ascii="Times New Roman" w:eastAsia="仿宋"/>
          <w:color w:val="auto"/>
          <w:sz w:val="30"/>
          <w:szCs w:val="30"/>
        </w:rPr>
        <w:t>拍卖时间：202</w:t>
      </w:r>
      <w:r>
        <w:rPr>
          <w:rFonts w:hint="eastAsia" w:ascii="Times New Roman" w:eastAsia="仿宋"/>
          <w:color w:val="auto"/>
          <w:sz w:val="30"/>
          <w:szCs w:val="30"/>
        </w:rPr>
        <w:t>4</w:t>
      </w:r>
      <w:r>
        <w:rPr>
          <w:rFonts w:ascii="Times New Roman" w:eastAsia="仿宋"/>
          <w:color w:val="auto"/>
          <w:sz w:val="30"/>
          <w:szCs w:val="30"/>
        </w:rPr>
        <w:t>年</w:t>
      </w:r>
      <w:r>
        <w:rPr>
          <w:rFonts w:hint="eastAsia" w:ascii="Times New Roman" w:eastAsia="仿宋"/>
          <w:color w:val="auto"/>
          <w:sz w:val="30"/>
          <w:szCs w:val="30"/>
        </w:rPr>
        <w:t>6</w:t>
      </w:r>
      <w:r>
        <w:rPr>
          <w:rFonts w:ascii="Times New Roman" w:eastAsia="仿宋"/>
          <w:color w:val="auto"/>
          <w:sz w:val="30"/>
          <w:szCs w:val="30"/>
        </w:rPr>
        <w:t>月</w:t>
      </w:r>
      <w:r>
        <w:rPr>
          <w:rFonts w:hint="eastAsia" w:ascii="Times New Roman" w:eastAsia="仿宋"/>
          <w:color w:val="auto"/>
          <w:sz w:val="30"/>
          <w:szCs w:val="30"/>
          <w:lang w:val="en-US" w:eastAsia="zh-CN"/>
        </w:rPr>
        <w:t>19</w:t>
      </w:r>
      <w:r>
        <w:rPr>
          <w:rFonts w:ascii="Times New Roman" w:eastAsia="仿宋"/>
          <w:color w:val="auto"/>
          <w:sz w:val="30"/>
          <w:szCs w:val="30"/>
        </w:rPr>
        <w:t>日9：00。</w:t>
      </w:r>
    </w:p>
    <w:p>
      <w:pPr>
        <w:spacing w:line="520" w:lineRule="exact"/>
        <w:ind w:firstLine="640" w:firstLineChars="200"/>
        <w:rPr>
          <w:rFonts w:ascii="Times New Roman" w:eastAsia="仿宋"/>
          <w:color w:val="auto"/>
          <w:szCs w:val="32"/>
        </w:rPr>
      </w:pPr>
      <w:r>
        <w:rPr>
          <w:rFonts w:ascii="Times New Roman" w:eastAsia="仿宋"/>
          <w:color w:val="auto"/>
          <w:szCs w:val="32"/>
        </w:rPr>
        <w:t>拍卖地点：泉州市政务服务中心（东海大厦）A幢442室（地址：泉州市丰泽区海星街100号）。</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三、本次国有建设用地使用权拍卖出让按照价高者得的原则确定竞得人，不设保留价。</w:t>
      </w:r>
    </w:p>
    <w:p>
      <w:pPr>
        <w:spacing w:line="520" w:lineRule="exact"/>
        <w:ind w:firstLine="640" w:firstLineChars="200"/>
        <w:rPr>
          <w:rFonts w:ascii="Times New Roman" w:eastAsia="仿宋"/>
          <w:color w:val="auto"/>
          <w:szCs w:val="32"/>
        </w:rPr>
      </w:pPr>
      <w:r>
        <w:rPr>
          <w:rFonts w:ascii="Times New Roman" w:eastAsia="仿宋"/>
          <w:color w:val="auto"/>
          <w:szCs w:val="32"/>
        </w:rPr>
        <w:t>四、出让地块的基本情况、规划指标和相关要求：</w:t>
      </w:r>
    </w:p>
    <w:p>
      <w:pPr>
        <w:spacing w:line="520" w:lineRule="exact"/>
        <w:ind w:firstLine="640" w:firstLineChars="200"/>
        <w:rPr>
          <w:rFonts w:ascii="Times New Roman" w:eastAsia="仿宋"/>
          <w:color w:val="auto"/>
          <w:szCs w:val="32"/>
        </w:rPr>
      </w:pPr>
      <w:r>
        <w:rPr>
          <w:rFonts w:ascii="Times New Roman" w:eastAsia="仿宋"/>
          <w:color w:val="auto"/>
          <w:szCs w:val="32"/>
        </w:rPr>
        <w:t>（一）地块的基本情况</w:t>
      </w:r>
    </w:p>
    <w:p>
      <w:pPr>
        <w:spacing w:line="580" w:lineRule="exact"/>
        <w:ind w:firstLine="643" w:firstLineChars="200"/>
        <w:rPr>
          <w:rFonts w:hint="default" w:eastAsia="仿宋"/>
          <w:color w:val="000000"/>
          <w:sz w:val="32"/>
          <w:szCs w:val="32"/>
          <w:lang w:val="en-US" w:eastAsia="zh-CN"/>
        </w:rPr>
      </w:pPr>
      <w:r>
        <w:rPr>
          <w:rFonts w:hint="eastAsia" w:eastAsia="楷体_GB2312"/>
          <w:b/>
          <w:sz w:val="32"/>
          <w:szCs w:val="32"/>
          <w:lang w:eastAsia="zh-CN"/>
        </w:rPr>
        <w:t>鲤</w:t>
      </w:r>
      <w:r>
        <w:rPr>
          <w:rFonts w:hint="eastAsia" w:eastAsia="楷体_GB2312"/>
          <w:b/>
          <w:sz w:val="32"/>
          <w:szCs w:val="32"/>
        </w:rPr>
        <w:t>202</w:t>
      </w:r>
      <w:r>
        <w:rPr>
          <w:rFonts w:hint="eastAsia" w:eastAsia="楷体_GB2312"/>
          <w:b/>
          <w:sz w:val="32"/>
          <w:szCs w:val="32"/>
          <w:lang w:val="en-US" w:eastAsia="zh-CN"/>
        </w:rPr>
        <w:t>4</w:t>
      </w:r>
      <w:r>
        <w:rPr>
          <w:rFonts w:hint="eastAsia" w:eastAsia="楷体_GB2312"/>
          <w:b/>
          <w:sz w:val="32"/>
          <w:szCs w:val="32"/>
        </w:rPr>
        <w:t>-</w:t>
      </w:r>
      <w:r>
        <w:rPr>
          <w:rFonts w:hint="eastAsia" w:eastAsia="楷体_GB2312"/>
          <w:b/>
          <w:sz w:val="32"/>
          <w:szCs w:val="32"/>
          <w:lang w:val="en-US" w:eastAsia="zh-CN"/>
        </w:rPr>
        <w:t>1</w:t>
      </w:r>
      <w:r>
        <w:rPr>
          <w:rFonts w:hint="eastAsia" w:eastAsia="楷体_GB2312"/>
          <w:b/>
          <w:sz w:val="32"/>
          <w:szCs w:val="32"/>
        </w:rPr>
        <w:t>号地块</w:t>
      </w:r>
      <w:bookmarkStart w:id="2" w:name="_GoBack"/>
      <w:bookmarkEnd w:id="2"/>
      <w:r>
        <w:rPr>
          <w:rFonts w:eastAsia="楷体_GB2312"/>
          <w:b/>
          <w:sz w:val="32"/>
          <w:szCs w:val="32"/>
        </w:rPr>
        <w:t>。</w:t>
      </w:r>
      <w:r>
        <w:rPr>
          <w:rFonts w:eastAsia="仿宋_GB2312"/>
          <w:sz w:val="32"/>
          <w:szCs w:val="32"/>
        </w:rPr>
        <w:t>该宗地即</w:t>
      </w:r>
      <w:r>
        <w:rPr>
          <w:rFonts w:hint="eastAsia" w:eastAsia="仿宋_GB2312"/>
          <w:sz w:val="32"/>
          <w:szCs w:val="32"/>
        </w:rPr>
        <w:t>2023-</w:t>
      </w:r>
      <w:r>
        <w:rPr>
          <w:rFonts w:hint="eastAsia" w:eastAsia="仿宋_GB2312"/>
          <w:sz w:val="32"/>
          <w:szCs w:val="32"/>
          <w:lang w:val="en-US" w:eastAsia="zh-CN"/>
        </w:rPr>
        <w:t>27</w:t>
      </w:r>
      <w:r>
        <w:rPr>
          <w:rFonts w:eastAsia="仿宋_GB2312"/>
          <w:sz w:val="32"/>
          <w:szCs w:val="32"/>
        </w:rPr>
        <w:t>号储备用地，</w:t>
      </w:r>
      <w:r>
        <w:rPr>
          <w:rFonts w:hint="eastAsia" w:eastAsia="仿宋"/>
          <w:color w:val="000000"/>
          <w:sz w:val="32"/>
          <w:szCs w:val="32"/>
        </w:rPr>
        <w:t>该宗地位于</w:t>
      </w:r>
      <w:r>
        <w:rPr>
          <w:rFonts w:hint="eastAsia" w:eastAsia="仿宋"/>
          <w:bCs/>
          <w:color w:val="000000"/>
          <w:sz w:val="32"/>
          <w:szCs w:val="32"/>
        </w:rPr>
        <w:t>鲤城区浮桥街道岐山社区，繁荣大道南侧、站前大道西侧</w:t>
      </w:r>
      <w:r>
        <w:rPr>
          <w:rFonts w:hint="eastAsia" w:eastAsia="仿宋"/>
          <w:color w:val="000000"/>
          <w:sz w:val="32"/>
          <w:szCs w:val="32"/>
        </w:rPr>
        <w:t>，用地面积</w:t>
      </w:r>
      <w:r>
        <w:rPr>
          <w:rFonts w:hint="eastAsia" w:eastAsia="仿宋"/>
          <w:color w:val="000000"/>
          <w:sz w:val="32"/>
          <w:szCs w:val="32"/>
          <w:lang w:val="zh-CN"/>
        </w:rPr>
        <w:t>63400.7平方米（约合95.1亩）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rPr>
        <w:t>娱乐康体与商业混合用地。主要技术指标：容积率2.0以下1.0以上，建筑密度40%以下，绿地率20%以上，建筑高度80米以下。建设内容为</w:t>
      </w:r>
      <w:r>
        <w:rPr>
          <w:rFonts w:hint="eastAsia" w:eastAsia="仿宋"/>
          <w:color w:val="000000"/>
          <w:sz w:val="32"/>
          <w:szCs w:val="32"/>
          <w:lang w:val="en-US" w:eastAsia="zh-CN"/>
        </w:rPr>
        <w:t>演艺剧场及商业设施、酒店（其中演艺剧场计容建筑面不少于2.53万平方米，酒店计容建筑面积不少于4.8万平方米）。</w:t>
      </w:r>
    </w:p>
    <w:p>
      <w:pPr>
        <w:spacing w:line="520" w:lineRule="exact"/>
        <w:ind w:firstLine="640" w:firstLineChars="200"/>
        <w:rPr>
          <w:rFonts w:ascii="Times New Roman" w:eastAsia="仿宋"/>
          <w:color w:val="auto"/>
          <w:szCs w:val="32"/>
        </w:rPr>
      </w:pPr>
      <w:r>
        <w:rPr>
          <w:rFonts w:ascii="Times New Roman" w:eastAsia="仿宋"/>
          <w:color w:val="auto"/>
          <w:szCs w:val="32"/>
        </w:rPr>
        <w:t>（二）规划指标和相关要求</w:t>
      </w:r>
    </w:p>
    <w:p>
      <w:pPr>
        <w:spacing w:line="580" w:lineRule="exact"/>
        <w:ind w:firstLine="640" w:firstLineChars="200"/>
        <w:rPr>
          <w:rFonts w:hint="eastAsia" w:eastAsia="仿宋"/>
          <w:color w:val="000000"/>
          <w:sz w:val="32"/>
          <w:szCs w:val="32"/>
          <w:lang w:eastAsia="zh-CN"/>
        </w:rPr>
      </w:pPr>
      <w:r>
        <w:rPr>
          <w:rFonts w:eastAsia="仿宋_GB2312"/>
          <w:sz w:val="32"/>
          <w:szCs w:val="32"/>
        </w:rPr>
        <w:t>1</w:t>
      </w:r>
      <w:r>
        <w:rPr>
          <w:rFonts w:hint="eastAsia" w:eastAsia="仿宋_GB2312"/>
          <w:sz w:val="32"/>
          <w:szCs w:val="32"/>
        </w:rPr>
        <w:t>．</w:t>
      </w:r>
      <w:r>
        <w:rPr>
          <w:rFonts w:hint="eastAsia" w:eastAsia="仿宋_GB2312"/>
          <w:sz w:val="32"/>
          <w:szCs w:val="32"/>
          <w:lang w:eastAsia="zh-CN"/>
        </w:rPr>
        <w:t>鲤</w:t>
      </w:r>
      <w:r>
        <w:rPr>
          <w:rFonts w:hint="eastAsia" w:eastAsia="仿宋_GB2312"/>
          <w:sz w:val="32"/>
          <w:szCs w:val="32"/>
          <w:lang w:val="en-US" w:eastAsia="zh-CN"/>
        </w:rPr>
        <w:t>2024-1号地块</w:t>
      </w:r>
      <w:r>
        <w:rPr>
          <w:rFonts w:hint="eastAsia" w:eastAsia="仿宋"/>
          <w:color w:val="000000"/>
          <w:sz w:val="32"/>
          <w:szCs w:val="32"/>
        </w:rPr>
        <w:t>建设内容为</w:t>
      </w:r>
      <w:r>
        <w:rPr>
          <w:rFonts w:hint="eastAsia" w:eastAsia="仿宋"/>
          <w:color w:val="000000"/>
          <w:sz w:val="32"/>
          <w:szCs w:val="32"/>
          <w:lang w:val="en-US" w:eastAsia="zh-CN"/>
        </w:rPr>
        <w:t>演艺剧场及商业设施、酒店（其中演艺剧场计容建筑面不少于2.53万平方米，酒店计容建筑面积不少于4.8万平方米）。</w:t>
      </w:r>
      <w:r>
        <w:rPr>
          <w:rFonts w:hint="eastAsia" w:eastAsia="仿宋"/>
          <w:color w:val="000000"/>
          <w:sz w:val="32"/>
          <w:szCs w:val="32"/>
        </w:rPr>
        <w:t>其中娱乐和酒店建筑不可分割销售，其余零售商业建筑可分割销售</w:t>
      </w:r>
      <w:r>
        <w:rPr>
          <w:rFonts w:hint="eastAsia" w:eastAsia="仿宋"/>
          <w:color w:val="000000"/>
          <w:sz w:val="32"/>
          <w:szCs w:val="32"/>
          <w:lang w:eastAsia="zh-CN"/>
        </w:rPr>
        <w:t>。</w:t>
      </w:r>
    </w:p>
    <w:p>
      <w:pPr>
        <w:spacing w:line="579" w:lineRule="exact"/>
        <w:ind w:firstLine="636" w:firstLineChars="199"/>
        <w:rPr>
          <w:rFonts w:eastAsia="仿宋_GB2312"/>
          <w:sz w:val="32"/>
          <w:szCs w:val="32"/>
        </w:rPr>
      </w:pPr>
      <w:r>
        <w:rPr>
          <w:rFonts w:hint="eastAsia" w:eastAsia="仿宋_GB2312"/>
          <w:sz w:val="32"/>
          <w:szCs w:val="32"/>
          <w:lang w:val="en-US" w:eastAsia="zh-CN"/>
        </w:rPr>
        <w:t>2</w:t>
      </w:r>
      <w:r>
        <w:rPr>
          <w:rFonts w:hint="eastAsia" w:eastAsia="仿宋_GB2312"/>
          <w:sz w:val="32"/>
          <w:szCs w:val="32"/>
        </w:rPr>
        <w:t>．上述</w:t>
      </w:r>
      <w:r>
        <w:rPr>
          <w:rFonts w:eastAsia="仿宋_GB2312"/>
          <w:sz w:val="32"/>
          <w:szCs w:val="32"/>
        </w:rPr>
        <w:t>地块由非泉州市</w:t>
      </w:r>
      <w:r>
        <w:rPr>
          <w:rFonts w:hint="eastAsia" w:eastAsia="仿宋_GB2312"/>
          <w:sz w:val="32"/>
          <w:szCs w:val="32"/>
          <w:lang w:eastAsia="zh-CN"/>
        </w:rPr>
        <w:t>鲤城</w:t>
      </w:r>
      <w:r>
        <w:rPr>
          <w:rFonts w:eastAsia="仿宋_GB2312"/>
          <w:sz w:val="32"/>
          <w:szCs w:val="32"/>
        </w:rPr>
        <w:t>区的法人竞得的，须在泉州市</w:t>
      </w:r>
      <w:r>
        <w:rPr>
          <w:rFonts w:hint="eastAsia" w:eastAsia="仿宋_GB2312"/>
          <w:sz w:val="32"/>
          <w:szCs w:val="32"/>
          <w:lang w:eastAsia="zh-CN"/>
        </w:rPr>
        <w:t>鲤城</w:t>
      </w:r>
      <w:r>
        <w:rPr>
          <w:rFonts w:eastAsia="仿宋_GB2312"/>
          <w:sz w:val="32"/>
          <w:szCs w:val="32"/>
        </w:rPr>
        <w:t>区注册成立新公司，所有税收应在当地缴纳。</w:t>
      </w:r>
    </w:p>
    <w:p>
      <w:pPr>
        <w:widowControl/>
        <w:spacing w:line="520" w:lineRule="exact"/>
        <w:ind w:firstLine="640" w:firstLineChars="200"/>
        <w:rPr>
          <w:rFonts w:hint="eastAsia" w:ascii="Times New Roman" w:eastAsia="仿宋"/>
          <w:color w:val="auto"/>
          <w:szCs w:val="32"/>
        </w:rPr>
      </w:pPr>
      <w:r>
        <w:rPr>
          <w:rFonts w:ascii="Times New Roman" w:eastAsia="仿宋"/>
          <w:color w:val="auto"/>
          <w:szCs w:val="32"/>
        </w:rPr>
        <w:t>五、竞买人资格</w:t>
      </w:r>
    </w:p>
    <w:p>
      <w:pPr>
        <w:widowControl/>
        <w:spacing w:line="520" w:lineRule="exact"/>
        <w:ind w:firstLine="640" w:firstLineChars="200"/>
        <w:rPr>
          <w:rFonts w:hint="eastAsia" w:ascii="Times New Roman" w:eastAsia="仿宋"/>
          <w:color w:val="auto"/>
          <w:szCs w:val="32"/>
        </w:rPr>
      </w:pPr>
      <w:r>
        <w:rPr>
          <w:rFonts w:ascii="Times New Roman" w:eastAsia="仿宋"/>
          <w:color w:val="auto"/>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交纳竞买保证金的截止时间为202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lang w:val="en-US" w:eastAsia="zh-CN"/>
        </w:rPr>
        <w:t>18</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20" w:lineRule="exact"/>
        <w:ind w:firstLine="640" w:firstLineChars="200"/>
        <w:rPr>
          <w:rFonts w:ascii="Times New Roman" w:eastAsia="仿宋"/>
          <w:color w:val="auto"/>
          <w:szCs w:val="32"/>
        </w:rPr>
      </w:pPr>
      <w:r>
        <w:rPr>
          <w:rFonts w:hint="eastAsia" w:ascii="Times New Roman" w:eastAsia="仿宋"/>
          <w:color w:val="auto"/>
          <w:szCs w:val="32"/>
          <w:lang w:val="en-US" w:eastAsia="zh-CN"/>
        </w:rPr>
        <w:t>鲤2024-1</w:t>
      </w:r>
      <w:r>
        <w:rPr>
          <w:rFonts w:hint="eastAsia" w:ascii="Times New Roman" w:eastAsia="仿宋"/>
          <w:color w:val="auto"/>
          <w:szCs w:val="32"/>
        </w:rPr>
        <w:t>号</w:t>
      </w:r>
      <w:r>
        <w:rPr>
          <w:rFonts w:ascii="Times New Roman" w:eastAsia="仿宋"/>
          <w:color w:val="auto"/>
          <w:szCs w:val="32"/>
        </w:rPr>
        <w:t>地块的竞买保证金为人民币（大写）</w:t>
      </w:r>
      <w:r>
        <w:rPr>
          <w:rFonts w:hint="eastAsia" w:ascii="仿宋" w:hAnsi="仿宋" w:eastAsia="仿宋" w:cs="仿宋"/>
          <w:b w:val="0"/>
          <w:bCs w:val="0"/>
          <w:i w:val="0"/>
          <w:iCs w:val="0"/>
          <w:caps w:val="0"/>
          <w:color w:val="333333"/>
          <w:spacing w:val="0"/>
          <w:sz w:val="32"/>
          <w:szCs w:val="32"/>
          <w:shd w:val="clear" w:fill="FFFFFF"/>
        </w:rPr>
        <w:t>柒</w:t>
      </w:r>
      <w:r>
        <w:rPr>
          <w:rFonts w:hint="eastAsia" w:ascii="Times New Roman" w:eastAsia="仿宋"/>
          <w:color w:val="auto"/>
          <w:szCs w:val="32"/>
        </w:rPr>
        <w:t>仟</w:t>
      </w:r>
      <w:r>
        <w:rPr>
          <w:rFonts w:hint="eastAsia" w:ascii="Times New Roman" w:eastAsia="仿宋"/>
          <w:color w:val="auto"/>
          <w:szCs w:val="32"/>
          <w:lang w:val="en-US" w:eastAsia="zh-CN"/>
        </w:rPr>
        <w:t>肆佰</w:t>
      </w:r>
      <w:r>
        <w:rPr>
          <w:rFonts w:hint="eastAsia" w:ascii="Times New Roman" w:eastAsia="仿宋"/>
          <w:color w:val="auto"/>
          <w:szCs w:val="32"/>
        </w:rPr>
        <w:t>万元</w:t>
      </w:r>
      <w:r>
        <w:rPr>
          <w:rFonts w:ascii="Times New Roman" w:eastAsia="仿宋"/>
          <w:color w:val="auto"/>
          <w:szCs w:val="32"/>
        </w:rPr>
        <w:t>整（￥</w:t>
      </w:r>
      <w:r>
        <w:rPr>
          <w:rFonts w:hint="eastAsia" w:ascii="Times New Roman" w:eastAsia="仿宋"/>
          <w:color w:val="auto"/>
          <w:szCs w:val="32"/>
          <w:lang w:val="en-US" w:eastAsia="zh-CN"/>
        </w:rPr>
        <w:t>74</w:t>
      </w:r>
      <w:r>
        <w:rPr>
          <w:rFonts w:ascii="Times New Roman" w:eastAsia="仿宋"/>
          <w:color w:val="auto"/>
          <w:szCs w:val="32"/>
        </w:rPr>
        <w:t>,000,000.00）</w:t>
      </w:r>
      <w:r>
        <w:rPr>
          <w:rFonts w:hint="eastAsia"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六、申请和资格审查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spacing w:line="520" w:lineRule="exact"/>
        <w:ind w:firstLine="640" w:firstLineChars="200"/>
        <w:rPr>
          <w:rFonts w:ascii="Times New Roman" w:eastAsia="仿宋"/>
          <w:color w:val="auto"/>
          <w:szCs w:val="32"/>
        </w:rPr>
      </w:pPr>
      <w:r>
        <w:rPr>
          <w:rFonts w:ascii="Times New Roman" w:eastAsia="仿宋"/>
          <w:color w:val="auto"/>
          <w:szCs w:val="32"/>
        </w:rPr>
        <w:t>竞买人可于202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lang w:val="en-US" w:eastAsia="zh-CN"/>
        </w:rPr>
        <w:t>30</w:t>
      </w:r>
      <w:r>
        <w:rPr>
          <w:rFonts w:ascii="Times New Roman" w:eastAsia="仿宋"/>
          <w:color w:val="auto"/>
          <w:szCs w:val="32"/>
        </w:rPr>
        <w:t>日至202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lang w:val="en-US" w:eastAsia="zh-CN"/>
        </w:rPr>
        <w:t>18</w:t>
      </w:r>
      <w:r>
        <w:rPr>
          <w:rFonts w:ascii="Times New Roman" w:eastAsia="仿宋"/>
          <w:color w:val="auto"/>
          <w:szCs w:val="32"/>
        </w:rPr>
        <w:t>日，到泉州市丰泽区海星街100号东海大厦A幢市政务服务中心4楼450室购买索取本次拍卖出让文件，具体包括：</w:t>
      </w:r>
    </w:p>
    <w:p>
      <w:pPr>
        <w:spacing w:line="520" w:lineRule="exact"/>
        <w:ind w:firstLine="640" w:firstLineChars="200"/>
        <w:rPr>
          <w:rFonts w:ascii="Times New Roman" w:eastAsia="仿宋"/>
          <w:color w:val="auto"/>
          <w:szCs w:val="32"/>
        </w:rPr>
      </w:pPr>
      <w:r>
        <w:rPr>
          <w:rFonts w:ascii="Times New Roman" w:eastAsia="仿宋"/>
          <w:color w:val="auto"/>
          <w:szCs w:val="32"/>
        </w:rPr>
        <w:t>1</w:t>
      </w:r>
      <w:r>
        <w:rPr>
          <w:rFonts w:hint="eastAsia" w:ascii="Times New Roman" w:eastAsia="仿宋"/>
          <w:color w:val="auto"/>
          <w:szCs w:val="32"/>
        </w:rPr>
        <w:t>.</w:t>
      </w:r>
      <w:r>
        <w:rPr>
          <w:rFonts w:ascii="Times New Roman" w:eastAsia="仿宋"/>
          <w:color w:val="auto"/>
          <w:szCs w:val="32"/>
        </w:rPr>
        <w:t>国有建设用地使用权出让公告(泉自然资告字〔202</w:t>
      </w:r>
      <w:r>
        <w:rPr>
          <w:rFonts w:hint="eastAsia" w:ascii="Times New Roman" w:eastAsia="仿宋"/>
          <w:color w:val="auto"/>
          <w:szCs w:val="32"/>
        </w:rPr>
        <w:t>4</w:t>
      </w:r>
      <w:r>
        <w:rPr>
          <w:rFonts w:ascii="Times New Roman" w:eastAsia="仿宋"/>
          <w:color w:val="auto"/>
          <w:szCs w:val="32"/>
        </w:rPr>
        <w:t>〕</w:t>
      </w:r>
      <w:r>
        <w:rPr>
          <w:rFonts w:hint="eastAsia" w:ascii="Times New Roman" w:eastAsia="仿宋"/>
          <w:color w:val="auto"/>
          <w:szCs w:val="32"/>
          <w:lang w:val="en-US" w:eastAsia="zh-CN"/>
        </w:rPr>
        <w:t>9</w:t>
      </w:r>
      <w:r>
        <w:rPr>
          <w:rFonts w:ascii="Times New Roman" w:eastAsia="仿宋"/>
          <w:color w:val="auto"/>
          <w:szCs w:val="32"/>
        </w:rPr>
        <w:t>号)</w:t>
      </w:r>
    </w:p>
    <w:p>
      <w:pPr>
        <w:spacing w:line="520" w:lineRule="exact"/>
        <w:ind w:firstLine="640" w:firstLineChars="200"/>
        <w:rPr>
          <w:rFonts w:ascii="Times New Roman" w:eastAsia="仿宋"/>
          <w:color w:val="auto"/>
          <w:szCs w:val="32"/>
        </w:rPr>
      </w:pPr>
      <w:r>
        <w:rPr>
          <w:rFonts w:ascii="Times New Roman" w:eastAsia="仿宋"/>
          <w:color w:val="auto"/>
          <w:szCs w:val="32"/>
        </w:rPr>
        <w:t>2</w:t>
      </w:r>
      <w:r>
        <w:rPr>
          <w:rFonts w:hint="eastAsia" w:ascii="Times New Roman" w:eastAsia="仿宋"/>
          <w:color w:val="auto"/>
          <w:szCs w:val="32"/>
        </w:rPr>
        <w:t>.</w:t>
      </w:r>
      <w:r>
        <w:rPr>
          <w:rFonts w:ascii="Times New Roman" w:eastAsia="仿宋"/>
          <w:color w:val="auto"/>
          <w:szCs w:val="32"/>
        </w:rPr>
        <w:t>国有建设用地使用权拍卖出让须知</w:t>
      </w:r>
    </w:p>
    <w:p>
      <w:pPr>
        <w:spacing w:line="520" w:lineRule="exact"/>
        <w:ind w:firstLine="640" w:firstLineChars="200"/>
        <w:rPr>
          <w:rFonts w:ascii="Times New Roman" w:eastAsia="仿宋"/>
          <w:color w:val="auto"/>
          <w:szCs w:val="32"/>
        </w:rPr>
      </w:pPr>
      <w:r>
        <w:rPr>
          <w:rFonts w:ascii="Times New Roman" w:eastAsia="仿宋"/>
          <w:color w:val="auto"/>
          <w:szCs w:val="32"/>
        </w:rPr>
        <w:t>3</w:t>
      </w:r>
      <w:r>
        <w:rPr>
          <w:rFonts w:hint="eastAsia" w:ascii="Times New Roman" w:eastAsia="仿宋"/>
          <w:color w:val="auto"/>
          <w:szCs w:val="32"/>
        </w:rPr>
        <w:t>.</w:t>
      </w:r>
      <w:r>
        <w:rPr>
          <w:rFonts w:ascii="Times New Roman" w:eastAsia="仿宋"/>
          <w:color w:val="auto"/>
          <w:szCs w:val="32"/>
        </w:rPr>
        <w:t>泉州市自然资源和规划局规划设计条件文件（复印件）</w:t>
      </w:r>
    </w:p>
    <w:p>
      <w:pPr>
        <w:spacing w:line="520" w:lineRule="exact"/>
        <w:ind w:firstLine="640" w:firstLineChars="200"/>
        <w:rPr>
          <w:rFonts w:ascii="Times New Roman" w:eastAsia="仿宋"/>
          <w:color w:val="auto"/>
          <w:szCs w:val="32"/>
        </w:rPr>
      </w:pPr>
      <w:r>
        <w:rPr>
          <w:rFonts w:ascii="Times New Roman" w:eastAsia="仿宋"/>
          <w:color w:val="auto"/>
          <w:szCs w:val="32"/>
        </w:rPr>
        <w:t>4</w:t>
      </w:r>
      <w:r>
        <w:rPr>
          <w:rFonts w:hint="eastAsia" w:ascii="Times New Roman" w:eastAsia="仿宋"/>
          <w:color w:val="auto"/>
          <w:szCs w:val="32"/>
        </w:rPr>
        <w:t>.</w:t>
      </w:r>
      <w:r>
        <w:rPr>
          <w:rFonts w:ascii="Times New Roman" w:eastAsia="仿宋"/>
          <w:color w:val="auto"/>
          <w:szCs w:val="32"/>
        </w:rPr>
        <w:t>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5</w:t>
      </w:r>
      <w:r>
        <w:rPr>
          <w:rFonts w:hint="eastAsia" w:ascii="Times New Roman" w:eastAsia="仿宋"/>
          <w:color w:val="auto"/>
          <w:szCs w:val="32"/>
        </w:rPr>
        <w:t>.</w:t>
      </w:r>
      <w:r>
        <w:rPr>
          <w:rFonts w:ascii="Times New Roman" w:eastAsia="仿宋"/>
          <w:color w:val="auto"/>
          <w:szCs w:val="32"/>
        </w:rPr>
        <w:t>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6</w:t>
      </w:r>
      <w:r>
        <w:rPr>
          <w:rFonts w:hint="eastAsia" w:ascii="Times New Roman" w:eastAsia="仿宋"/>
          <w:color w:val="auto"/>
          <w:szCs w:val="32"/>
        </w:rPr>
        <w:t>.</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7</w:t>
      </w:r>
      <w:r>
        <w:rPr>
          <w:rFonts w:hint="eastAsia" w:ascii="Times New Roman" w:eastAsia="仿宋"/>
          <w:color w:val="auto"/>
          <w:szCs w:val="32"/>
        </w:rPr>
        <w:t>.</w:t>
      </w:r>
      <w:r>
        <w:rPr>
          <w:rFonts w:ascii="Times New Roman" w:eastAsia="仿宋"/>
          <w:color w:val="auto"/>
          <w:szCs w:val="32"/>
        </w:rPr>
        <w:t>授权委托书</w:t>
      </w:r>
    </w:p>
    <w:p>
      <w:pPr>
        <w:spacing w:line="520" w:lineRule="exact"/>
        <w:ind w:firstLine="640" w:firstLineChars="200"/>
        <w:rPr>
          <w:rFonts w:ascii="Times New Roman" w:eastAsia="仿宋"/>
          <w:color w:val="auto"/>
          <w:szCs w:val="32"/>
        </w:rPr>
      </w:pPr>
      <w:r>
        <w:rPr>
          <w:rFonts w:ascii="Times New Roman" w:eastAsia="仿宋"/>
          <w:color w:val="auto"/>
          <w:szCs w:val="32"/>
        </w:rPr>
        <w:t>8</w:t>
      </w:r>
      <w:r>
        <w:rPr>
          <w:rFonts w:hint="eastAsia" w:ascii="Times New Roman" w:eastAsia="仿宋"/>
          <w:color w:val="auto"/>
          <w:szCs w:val="32"/>
        </w:rPr>
        <w:t>.</w:t>
      </w:r>
      <w:r>
        <w:rPr>
          <w:rFonts w:ascii="Times New Roman" w:eastAsia="仿宋"/>
          <w:color w:val="auto"/>
          <w:szCs w:val="32"/>
        </w:rPr>
        <w:t>竞买资格确认书（样本）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9</w:t>
      </w:r>
      <w:r>
        <w:rPr>
          <w:rFonts w:hint="eastAsia" w:ascii="Times New Roman" w:eastAsia="仿宋"/>
          <w:color w:val="auto"/>
          <w:szCs w:val="32"/>
        </w:rPr>
        <w:t>.</w:t>
      </w:r>
      <w:r>
        <w:rPr>
          <w:rFonts w:ascii="Times New Roman" w:eastAsia="仿宋"/>
          <w:color w:val="auto"/>
          <w:szCs w:val="32"/>
        </w:rPr>
        <w:t>成交确认书（样本）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10</w:t>
      </w:r>
      <w:r>
        <w:rPr>
          <w:rFonts w:hint="eastAsia" w:ascii="Times New Roman" w:eastAsia="仿宋"/>
          <w:color w:val="auto"/>
          <w:szCs w:val="32"/>
        </w:rPr>
        <w:t>.</w:t>
      </w:r>
      <w:r>
        <w:rPr>
          <w:rFonts w:ascii="Times New Roman" w:eastAsia="仿宋"/>
          <w:color w:val="auto"/>
          <w:szCs w:val="32"/>
        </w:rPr>
        <w:t>地块宗地图（复印件）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11</w:t>
      </w:r>
      <w:r>
        <w:rPr>
          <w:rFonts w:hint="eastAsia" w:ascii="Times New Roman" w:eastAsia="仿宋"/>
          <w:color w:val="auto"/>
          <w:szCs w:val="32"/>
        </w:rPr>
        <w:t>.</w:t>
      </w:r>
      <w:r>
        <w:rPr>
          <w:rFonts w:ascii="Times New Roman" w:eastAsia="仿宋"/>
          <w:color w:val="auto"/>
          <w:szCs w:val="32"/>
        </w:rPr>
        <w:t>泉州市自然资源和规划局用地红线图（复印件）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（二）提交申请</w:t>
      </w:r>
    </w:p>
    <w:p>
      <w:pPr>
        <w:spacing w:line="520" w:lineRule="exact"/>
        <w:ind w:firstLine="640" w:firstLineChars="200"/>
        <w:rPr>
          <w:rFonts w:ascii="Times New Roman" w:eastAsia="仿宋"/>
          <w:color w:val="auto"/>
          <w:szCs w:val="32"/>
        </w:rPr>
      </w:pPr>
      <w:r>
        <w:rPr>
          <w:rFonts w:ascii="Times New Roman" w:eastAsia="仿宋"/>
          <w:color w:val="auto"/>
          <w:szCs w:val="32"/>
        </w:rPr>
        <w:t>竞买人应于202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lang w:val="en-US" w:eastAsia="zh-CN"/>
        </w:rPr>
        <w:t>18</w:t>
      </w:r>
      <w:r>
        <w:rPr>
          <w:rFonts w:ascii="Times New Roman" w:eastAsia="仿宋"/>
          <w:color w:val="auto"/>
          <w:szCs w:val="32"/>
        </w:rPr>
        <w:t>日17时前，到泉州市丰泽区海星街100号东海大厦A幢市政务服务中心4楼450室提交书面申请（不接受邮寄、电子邮件及口头竞买报名），</w:t>
      </w:r>
      <w:r>
        <w:rPr>
          <w:rFonts w:ascii="Times New Roman" w:eastAsia="仿宋"/>
          <w:b/>
          <w:color w:val="auto"/>
          <w:szCs w:val="32"/>
        </w:rPr>
        <w:t>所有申请文件必须为正本一式二份。</w:t>
      </w:r>
      <w:r>
        <w:rPr>
          <w:rFonts w:ascii="Times New Roman" w:eastAsia="仿宋"/>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2</w:t>
      </w:r>
      <w:r>
        <w:rPr>
          <w:rFonts w:ascii="Times New Roman" w:eastAsia="仿宋"/>
          <w:color w:val="auto"/>
          <w:szCs w:val="32"/>
        </w:rPr>
        <w:t>．</w:t>
      </w:r>
      <w:r>
        <w:rPr>
          <w:rFonts w:eastAsia="仿宋"/>
          <w:color w:val="000000" w:themeColor="text1"/>
          <w:szCs w:val="32"/>
        </w:rPr>
        <w:t>自然人</w:t>
      </w:r>
      <w:r>
        <w:rPr>
          <w:rFonts w:ascii="Times New Roman" w:eastAsia="仿宋"/>
          <w:color w:val="auto"/>
          <w:szCs w:val="32"/>
        </w:rPr>
        <w:t>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（4）申请人有效身份证明文件；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3</w:t>
      </w:r>
      <w:r>
        <w:rPr>
          <w:rFonts w:ascii="Times New Roman" w:eastAsia="仿宋"/>
          <w:color w:val="auto"/>
          <w:szCs w:val="32"/>
        </w:rPr>
        <w:t>．其他组织申请的，应提交下列文件：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4</w:t>
      </w:r>
      <w:r>
        <w:rPr>
          <w:rFonts w:ascii="Times New Roman" w:eastAsia="仿宋"/>
          <w:color w:val="auto"/>
          <w:szCs w:val="32"/>
        </w:rPr>
        <w:t>．境外申请人申请的，应提交下列文件：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ascii="Times New Roman" w:eastAsia="仿宋"/>
          <w:color w:val="auto"/>
          <w:szCs w:val="32"/>
        </w:rPr>
      </w:pPr>
      <w:r>
        <w:rPr>
          <w:rFonts w:ascii="Times New Roman" w:eastAsia="仿宋"/>
          <w:color w:val="auto"/>
          <w:szCs w:val="32"/>
        </w:rPr>
        <w:t>（三）资格审查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spacing w:line="52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spacing w:line="52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spacing w:line="52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（四）确认竞买人资格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ascii="Times New Roman" w:eastAsia="仿宋"/>
          <w:color w:val="auto"/>
          <w:szCs w:val="32"/>
        </w:rPr>
      </w:pPr>
      <w:r>
        <w:rPr>
          <w:rFonts w:ascii="Times New Roman" w:eastAsia="仿宋"/>
          <w:color w:val="auto"/>
          <w:szCs w:val="32"/>
        </w:rPr>
        <w:t>（五）答疑及现场踏勘</w:t>
      </w:r>
    </w:p>
    <w:p>
      <w:pPr>
        <w:spacing w:line="52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lang w:val="en-US" w:eastAsia="zh-CN"/>
        </w:rPr>
        <w:t>6</w:t>
      </w:r>
      <w:r>
        <w:rPr>
          <w:rFonts w:ascii="Times New Roman" w:eastAsia="仿宋"/>
          <w:color w:val="auto"/>
          <w:szCs w:val="32"/>
        </w:rPr>
        <w:t>月</w:t>
      </w:r>
      <w:r>
        <w:rPr>
          <w:rFonts w:hint="eastAsia" w:ascii="Times New Roman" w:eastAsia="仿宋"/>
          <w:color w:val="auto"/>
          <w:szCs w:val="32"/>
          <w:lang w:val="en-US" w:eastAsia="zh-CN"/>
        </w:rPr>
        <w:t>3</w:t>
      </w:r>
      <w:r>
        <w:rPr>
          <w:rFonts w:ascii="Times New Roman" w:eastAsia="仿宋"/>
          <w:color w:val="auto"/>
          <w:szCs w:val="32"/>
        </w:rPr>
        <w:t>日至202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lang w:val="en-US" w:eastAsia="zh-CN"/>
        </w:rPr>
        <w:t>6</w:t>
      </w:r>
      <w:r>
        <w:rPr>
          <w:rFonts w:ascii="Times New Roman" w:eastAsia="仿宋"/>
          <w:color w:val="auto"/>
          <w:szCs w:val="32"/>
        </w:rPr>
        <w:t>月</w:t>
      </w:r>
      <w:r>
        <w:rPr>
          <w:rFonts w:hint="eastAsia" w:ascii="Times New Roman" w:eastAsia="仿宋"/>
          <w:color w:val="auto"/>
          <w:szCs w:val="32"/>
          <w:lang w:val="en-US" w:eastAsia="zh-CN"/>
        </w:rPr>
        <w:t>4</w:t>
      </w:r>
      <w:r>
        <w:rPr>
          <w:rFonts w:ascii="Times New Roman" w:eastAsia="仿宋"/>
          <w:color w:val="auto"/>
          <w:szCs w:val="32"/>
        </w:rPr>
        <w:t>日组织竞买人对拟出让地块进行现场踏勘。需由我局派员陪同实地踏勘的，请提前与我局联系（联系电话：0595－22769392）。</w:t>
      </w:r>
    </w:p>
    <w:p>
      <w:pPr>
        <w:spacing w:line="520" w:lineRule="exact"/>
        <w:ind w:firstLine="640" w:firstLineChars="200"/>
        <w:rPr>
          <w:rFonts w:ascii="Times New Roman" w:eastAsia="仿宋"/>
          <w:color w:val="auto"/>
          <w:szCs w:val="32"/>
        </w:rPr>
      </w:pPr>
      <w:r>
        <w:rPr>
          <w:rFonts w:ascii="Times New Roman" w:eastAsia="仿宋"/>
          <w:color w:val="auto"/>
          <w:szCs w:val="32"/>
        </w:rPr>
        <w:t>七、宗地的拍卖起叫价和增价幅度</w:t>
      </w:r>
    </w:p>
    <w:p>
      <w:pPr>
        <w:spacing w:line="520" w:lineRule="exact"/>
        <w:ind w:firstLine="640" w:firstLineChars="200"/>
        <w:rPr>
          <w:rFonts w:ascii="Times New Roman" w:eastAsia="仿宋"/>
          <w:color w:val="auto"/>
          <w:szCs w:val="32"/>
        </w:rPr>
      </w:pPr>
      <w:r>
        <w:rPr>
          <w:rFonts w:hint="eastAsia" w:ascii="Times New Roman" w:eastAsia="仿宋"/>
          <w:color w:val="auto"/>
          <w:szCs w:val="32"/>
          <w:lang w:val="en-US" w:eastAsia="zh-CN"/>
        </w:rPr>
        <w:t>鲤</w:t>
      </w:r>
      <w:r>
        <w:rPr>
          <w:rFonts w:hint="eastAsia" w:ascii="Times New Roman" w:eastAsia="仿宋"/>
          <w:color w:val="auto"/>
          <w:szCs w:val="32"/>
        </w:rPr>
        <w:t>202</w:t>
      </w:r>
      <w:r>
        <w:rPr>
          <w:rFonts w:hint="eastAsia" w:ascii="Times New Roman" w:eastAsia="仿宋"/>
          <w:color w:val="auto"/>
          <w:szCs w:val="32"/>
          <w:lang w:val="en-US" w:eastAsia="zh-CN"/>
        </w:rPr>
        <w:t>4</w:t>
      </w:r>
      <w:r>
        <w:rPr>
          <w:rFonts w:hint="eastAsia" w:ascii="Times New Roman" w:eastAsia="仿宋"/>
          <w:color w:val="auto"/>
          <w:szCs w:val="32"/>
        </w:rPr>
        <w:t>-</w:t>
      </w:r>
      <w:r>
        <w:rPr>
          <w:rFonts w:hint="eastAsia" w:ascii="Times New Roman" w:eastAsia="仿宋"/>
          <w:color w:val="auto"/>
          <w:szCs w:val="32"/>
          <w:lang w:val="en-US" w:eastAsia="zh-CN"/>
        </w:rPr>
        <w:t>1</w:t>
      </w:r>
      <w:r>
        <w:rPr>
          <w:rFonts w:ascii="Times New Roman" w:eastAsia="仿宋"/>
          <w:color w:val="auto"/>
          <w:szCs w:val="32"/>
        </w:rPr>
        <w:t>号地块，起叫价为人民币（大写）</w:t>
      </w:r>
      <w:r>
        <w:rPr>
          <w:rFonts w:hint="eastAsia" w:ascii="Times New Roman" w:eastAsia="仿宋"/>
          <w:color w:val="auto"/>
          <w:szCs w:val="32"/>
          <w:lang w:val="en-US" w:eastAsia="zh-CN"/>
        </w:rPr>
        <w:t>叁</w:t>
      </w:r>
      <w:r>
        <w:rPr>
          <w:rFonts w:hint="eastAsia" w:ascii="Times New Roman" w:eastAsia="仿宋"/>
          <w:color w:val="auto"/>
          <w:szCs w:val="32"/>
        </w:rPr>
        <w:t>亿</w:t>
      </w:r>
      <w:r>
        <w:rPr>
          <w:rFonts w:hint="eastAsia" w:ascii="Times New Roman" w:eastAsia="仿宋"/>
          <w:color w:val="auto"/>
          <w:szCs w:val="32"/>
          <w:lang w:val="en-US" w:eastAsia="zh-CN"/>
        </w:rPr>
        <w:t>陆</w:t>
      </w:r>
      <w:r>
        <w:rPr>
          <w:rFonts w:hint="eastAsia" w:ascii="Times New Roman" w:eastAsia="仿宋"/>
          <w:color w:val="auto"/>
          <w:szCs w:val="32"/>
        </w:rPr>
        <w:t>仟</w:t>
      </w:r>
      <w:r>
        <w:rPr>
          <w:rFonts w:hint="eastAsia" w:ascii="Times New Roman" w:eastAsia="仿宋"/>
          <w:color w:val="auto"/>
          <w:szCs w:val="32"/>
          <w:lang w:val="en-US" w:eastAsia="zh-CN"/>
        </w:rPr>
        <w:t>玖</w:t>
      </w:r>
      <w:r>
        <w:rPr>
          <w:rFonts w:hint="eastAsia" w:ascii="Times New Roman" w:eastAsia="仿宋"/>
          <w:color w:val="auto"/>
          <w:szCs w:val="32"/>
        </w:rPr>
        <w:t>佰万元</w:t>
      </w:r>
      <w:r>
        <w:rPr>
          <w:rFonts w:ascii="Times New Roman" w:eastAsia="仿宋"/>
          <w:color w:val="auto"/>
          <w:szCs w:val="32"/>
        </w:rPr>
        <w:t>整（￥</w:t>
      </w:r>
      <w:r>
        <w:rPr>
          <w:rFonts w:hint="eastAsia" w:ascii="Times New Roman" w:eastAsia="仿宋"/>
          <w:color w:val="auto"/>
          <w:szCs w:val="32"/>
          <w:lang w:val="en-US" w:eastAsia="zh-CN"/>
        </w:rPr>
        <w:t>369</w:t>
      </w:r>
      <w:r>
        <w:rPr>
          <w:rFonts w:hint="eastAsia" w:ascii="Times New Roman" w:eastAsia="仿宋"/>
          <w:color w:val="auto"/>
          <w:szCs w:val="32"/>
        </w:rPr>
        <w:t>,00</w:t>
      </w:r>
      <w:r>
        <w:rPr>
          <w:rFonts w:ascii="Times New Roman" w:eastAsia="仿宋"/>
          <w:color w:val="auto"/>
          <w:szCs w:val="32"/>
        </w:rPr>
        <w:t>0,000.00），增价幅度为人民币（大写）</w:t>
      </w:r>
      <w:r>
        <w:rPr>
          <w:rFonts w:hint="eastAsia" w:ascii="Times New Roman" w:eastAsia="仿宋"/>
          <w:color w:val="auto"/>
          <w:szCs w:val="32"/>
        </w:rPr>
        <w:t>壹佰万</w:t>
      </w:r>
      <w:r>
        <w:rPr>
          <w:rFonts w:ascii="Times New Roman" w:eastAsia="仿宋"/>
          <w:color w:val="auto"/>
          <w:szCs w:val="32"/>
        </w:rPr>
        <w:t>元整（￥</w:t>
      </w:r>
      <w:r>
        <w:rPr>
          <w:rFonts w:hint="eastAsia" w:ascii="Times New Roman" w:eastAsia="仿宋"/>
          <w:color w:val="auto"/>
          <w:szCs w:val="32"/>
        </w:rPr>
        <w:t>1</w:t>
      </w:r>
      <w:r>
        <w:rPr>
          <w:rFonts w:ascii="Times New Roman" w:eastAsia="仿宋"/>
          <w:color w:val="auto"/>
          <w:szCs w:val="32"/>
        </w:rPr>
        <w:t>,</w:t>
      </w:r>
      <w:r>
        <w:rPr>
          <w:rFonts w:hint="eastAsia" w:ascii="Times New Roman" w:eastAsia="仿宋"/>
          <w:color w:val="auto"/>
          <w:szCs w:val="32"/>
        </w:rPr>
        <w:t>00</w:t>
      </w:r>
      <w:r>
        <w:rPr>
          <w:rFonts w:ascii="Times New Roman" w:eastAsia="仿宋"/>
          <w:color w:val="auto"/>
          <w:szCs w:val="32"/>
        </w:rPr>
        <w:t>0,000.00）</w:t>
      </w:r>
      <w:r>
        <w:rPr>
          <w:rFonts w:hint="eastAsia" w:ascii="Times New Roman" w:eastAsia="仿宋"/>
          <w:color w:val="auto"/>
          <w:szCs w:val="32"/>
        </w:rPr>
        <w:t>或100万元整数倍金额。</w:t>
      </w:r>
    </w:p>
    <w:p>
      <w:pPr>
        <w:spacing w:line="520" w:lineRule="exact"/>
        <w:ind w:firstLine="640" w:firstLineChars="200"/>
        <w:rPr>
          <w:rFonts w:ascii="Times New Roman" w:eastAsia="仿宋"/>
          <w:color w:val="auto"/>
          <w:szCs w:val="32"/>
        </w:rPr>
      </w:pPr>
      <w:r>
        <w:rPr>
          <w:rFonts w:ascii="Times New Roman" w:eastAsia="仿宋"/>
          <w:color w:val="auto"/>
          <w:szCs w:val="32"/>
        </w:rPr>
        <w:t>八、拍卖程序</w:t>
      </w:r>
    </w:p>
    <w:p>
      <w:pPr>
        <w:spacing w:line="520" w:lineRule="exact"/>
        <w:ind w:firstLine="640" w:firstLineChars="200"/>
        <w:rPr>
          <w:rFonts w:ascii="Times New Roman" w:eastAsia="仿宋"/>
          <w:color w:val="auto"/>
          <w:szCs w:val="32"/>
        </w:rPr>
      </w:pPr>
      <w:r>
        <w:rPr>
          <w:rFonts w:ascii="Times New Roman" w:eastAsia="仿宋"/>
          <w:color w:val="auto"/>
          <w:szCs w:val="32"/>
        </w:rPr>
        <w:t>（一）拍卖会程序</w:t>
      </w:r>
    </w:p>
    <w:p>
      <w:pPr>
        <w:spacing w:line="52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spacing w:line="52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spacing w:line="52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spacing w:line="52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spacing w:line="52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spacing w:line="52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spacing w:line="52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spacing w:line="520" w:lineRule="exact"/>
        <w:ind w:firstLine="640" w:firstLineChars="200"/>
        <w:rPr>
          <w:rFonts w:ascii="Times New Roman" w:eastAsia="仿宋"/>
          <w:color w:val="auto"/>
          <w:szCs w:val="32"/>
        </w:rPr>
      </w:pPr>
      <w:r>
        <w:rPr>
          <w:rFonts w:ascii="Times New Roman" w:eastAsia="仿宋"/>
          <w:color w:val="auto"/>
          <w:szCs w:val="32"/>
        </w:rPr>
        <w:t>（四）出让结果公布</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我局将在此次国有建设用地使用权拍卖会结束后10个工作日内，在中国土地市场网（www.landchina.com）、泉州自然资源和规划</w:t>
      </w:r>
      <w:r>
        <w:rPr>
          <w:rFonts w:ascii="Times New Roman" w:eastAsia="仿宋"/>
          <w:color w:val="auto"/>
          <w:kern w:val="10"/>
          <w:szCs w:val="32"/>
        </w:rPr>
        <w:t>信息网（</w:t>
      </w:r>
      <w:r>
        <w:rPr>
          <w:rFonts w:ascii="Times New Roman" w:eastAsia="仿宋"/>
          <w:color w:val="auto"/>
          <w:szCs w:val="32"/>
        </w:rPr>
        <w:t>zyghj.quanzhou.gov.cn</w:t>
      </w:r>
      <w:r>
        <w:rPr>
          <w:rFonts w:ascii="Times New Roman" w:eastAsia="仿宋"/>
          <w:color w:val="auto"/>
          <w:kern w:val="10"/>
          <w:szCs w:val="32"/>
        </w:rPr>
        <w:t>）</w:t>
      </w:r>
      <w:r>
        <w:rPr>
          <w:rFonts w:ascii="Times New Roman" w:eastAsia="仿宋"/>
          <w:color w:val="auto"/>
          <w:szCs w:val="32"/>
        </w:rPr>
        <w:t>公布本次国有建设用地使用权拍卖出让结果。</w:t>
      </w:r>
    </w:p>
    <w:p>
      <w:pPr>
        <w:spacing w:line="520" w:lineRule="exact"/>
        <w:ind w:firstLine="640" w:firstLineChars="200"/>
        <w:rPr>
          <w:rFonts w:ascii="Times New Roman" w:eastAsia="仿宋"/>
          <w:color w:val="auto"/>
          <w:szCs w:val="32"/>
        </w:rPr>
      </w:pPr>
      <w:r>
        <w:rPr>
          <w:rFonts w:ascii="Times New Roman" w:eastAsia="仿宋"/>
          <w:color w:val="auto"/>
          <w:szCs w:val="32"/>
        </w:rPr>
        <w:t>九、竞价规则</w:t>
      </w:r>
    </w:p>
    <w:p>
      <w:pPr>
        <w:spacing w:line="520" w:lineRule="exact"/>
        <w:ind w:firstLine="640" w:firstLineChars="200"/>
        <w:rPr>
          <w:rFonts w:ascii="Times New Roman" w:eastAsia="仿宋"/>
          <w:color w:val="auto"/>
          <w:szCs w:val="32"/>
        </w:rPr>
      </w:pPr>
      <w:r>
        <w:rPr>
          <w:rFonts w:ascii="Times New Roman" w:eastAsia="仿宋"/>
          <w:color w:val="auto"/>
          <w:szCs w:val="32"/>
        </w:rPr>
        <w:t>（一）不设保留价，</w:t>
      </w:r>
      <w:r>
        <w:rPr>
          <w:rFonts w:hint="eastAsia" w:ascii="Times New Roman" w:eastAsia="仿宋"/>
          <w:color w:val="auto"/>
          <w:szCs w:val="32"/>
        </w:rPr>
        <w:t>按照价高者得的原则</w:t>
      </w:r>
      <w:r>
        <w:rPr>
          <w:rFonts w:ascii="Times New Roman" w:eastAsia="仿宋"/>
          <w:color w:val="auto"/>
          <w:szCs w:val="32"/>
        </w:rPr>
        <w:t>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（二）竞买人以举牌方式应价，也可以报价，报价的加价幅度不得小于拍卖主持人宣布或调整的增价幅度。</w:t>
      </w:r>
    </w:p>
    <w:p>
      <w:pPr>
        <w:spacing w:line="520" w:lineRule="exact"/>
        <w:ind w:firstLine="640" w:firstLineChars="200"/>
        <w:rPr>
          <w:rFonts w:ascii="Times New Roman" w:eastAsia="仿宋"/>
          <w:color w:val="auto"/>
          <w:szCs w:val="32"/>
        </w:rPr>
      </w:pPr>
      <w:r>
        <w:rPr>
          <w:rFonts w:ascii="Times New Roman" w:eastAsia="仿宋"/>
          <w:color w:val="auto"/>
          <w:kern w:val="10"/>
          <w:szCs w:val="32"/>
        </w:rPr>
        <w:t>（</w:t>
      </w:r>
      <w:r>
        <w:rPr>
          <w:rFonts w:hint="eastAsia" w:ascii="Times New Roman" w:eastAsia="仿宋"/>
          <w:color w:val="auto"/>
          <w:kern w:val="10"/>
          <w:szCs w:val="32"/>
        </w:rPr>
        <w:t>三</w:t>
      </w:r>
      <w:r>
        <w:rPr>
          <w:rFonts w:ascii="Times New Roman" w:eastAsia="仿宋"/>
          <w:color w:val="auto"/>
          <w:kern w:val="10"/>
          <w:szCs w:val="32"/>
        </w:rPr>
        <w:t>）竞买人凭《竞买资格确认书》和法定代表人（自然人、受委托代理人）身份证件领取竞买号牌。</w:t>
      </w:r>
      <w:r>
        <w:rPr>
          <w:rFonts w:ascii="Times New Roman" w:eastAsia="仿宋"/>
          <w:color w:val="auto"/>
          <w:szCs w:val="32"/>
        </w:rPr>
        <w:t>竞买号牌代表竞买人的资格。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w:t>
      </w:r>
      <w:r>
        <w:rPr>
          <w:rFonts w:hint="eastAsia" w:ascii="Times New Roman" w:eastAsia="仿宋"/>
          <w:color w:val="auto"/>
          <w:kern w:val="10"/>
          <w:szCs w:val="32"/>
        </w:rPr>
        <w:t>四</w:t>
      </w:r>
      <w:r>
        <w:rPr>
          <w:rFonts w:ascii="Times New Roman" w:eastAsia="仿宋"/>
          <w:color w:val="auto"/>
          <w:kern w:val="10"/>
          <w:szCs w:val="32"/>
        </w:rPr>
        <w:t>）</w:t>
      </w:r>
      <w:r>
        <w:rPr>
          <w:rFonts w:ascii="Times New Roman" w:eastAsia="仿宋"/>
          <w:color w:val="auto"/>
          <w:szCs w:val="32"/>
        </w:rPr>
        <w:t>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lang w:val="en-US" w:eastAsia="zh-CN"/>
        </w:rPr>
        <w:t>19</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kern w:val="10"/>
          <w:szCs w:val="32"/>
        </w:rPr>
        <w:t>:</w:t>
      </w:r>
      <w:r>
        <w:rPr>
          <w:rFonts w:hint="eastAsia" w:ascii="Times New Roman" w:eastAsia="仿宋"/>
          <w:color w:val="auto"/>
          <w:kern w:val="10"/>
          <w:szCs w:val="32"/>
        </w:rPr>
        <w:t>0</w:t>
      </w:r>
      <w:r>
        <w:rPr>
          <w:rFonts w:ascii="Times New Roman" w:eastAsia="仿宋"/>
          <w:color w:val="auto"/>
          <w:kern w:val="10"/>
          <w:szCs w:val="32"/>
        </w:rPr>
        <w:t>0前，竞买人须领取竞买号牌并进入竞买现场，否则视为放弃竞买资格。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十、缴款时间、交地时间和交地条件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（一）缴款时间</w:t>
      </w:r>
    </w:p>
    <w:p>
      <w:pPr>
        <w:spacing w:line="520" w:lineRule="exact"/>
        <w:ind w:firstLine="640" w:firstLineChars="200"/>
        <w:rPr>
          <w:rFonts w:ascii="Times New Roman" w:eastAsia="仿宋"/>
          <w:color w:val="auto"/>
          <w:kern w:val="10"/>
          <w:szCs w:val="32"/>
        </w:rPr>
      </w:pPr>
      <w:r>
        <w:rPr>
          <w:rFonts w:hint="eastAsia" w:ascii="Times New Roman" w:eastAsia="仿宋"/>
          <w:color w:val="auto"/>
          <w:kern w:val="10"/>
          <w:szCs w:val="32"/>
        </w:rPr>
        <w:t>上述</w:t>
      </w:r>
      <w:r>
        <w:rPr>
          <w:rFonts w:ascii="Times New Roman" w:eastAsia="仿宋"/>
          <w:color w:val="auto"/>
          <w:kern w:val="10"/>
          <w:szCs w:val="32"/>
        </w:rPr>
        <w:t>地块竞得人自竞得之日起30日内应缴交成交价总额50%的成交价款（竞买保证金转作受让地块的定金，抵作土地出让价款），余款自竞得之日起</w:t>
      </w:r>
      <w:r>
        <w:rPr>
          <w:rFonts w:hint="eastAsia" w:ascii="Times New Roman" w:eastAsia="仿宋"/>
          <w:color w:val="auto"/>
          <w:kern w:val="10"/>
          <w:szCs w:val="32"/>
        </w:rPr>
        <w:t>6</w:t>
      </w:r>
      <w:r>
        <w:rPr>
          <w:rFonts w:ascii="Times New Roman" w:eastAsia="仿宋"/>
          <w:color w:val="auto"/>
          <w:kern w:val="10"/>
          <w:szCs w:val="32"/>
        </w:rPr>
        <w:t>个月内交清</w:t>
      </w:r>
      <w:r>
        <w:rPr>
          <w:rFonts w:hint="eastAsia" w:ascii="Times New Roman" w:eastAsia="仿宋"/>
          <w:color w:val="auto"/>
          <w:kern w:val="10"/>
          <w:szCs w:val="32"/>
        </w:rPr>
        <w:t>。</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竞得人应当按时支付成交价款，不能按时支付成交价款的，自违约之日起，每日按迟延支付款项的1‰向出让人缴纳违约金。延期付款超过60日，经出让人催</w:t>
      </w:r>
      <w:r>
        <w:rPr>
          <w:rFonts w:hint="eastAsia" w:ascii="Times New Roman" w:eastAsia="仿宋"/>
          <w:color w:val="auto"/>
          <w:kern w:val="10"/>
          <w:szCs w:val="32"/>
        </w:rPr>
        <w:t>缴</w:t>
      </w:r>
      <w:r>
        <w:rPr>
          <w:rFonts w:ascii="Times New Roman" w:eastAsia="仿宋"/>
          <w:color w:val="auto"/>
          <w:kern w:val="10"/>
          <w:szCs w:val="32"/>
        </w:rPr>
        <w:t>后仍</w:t>
      </w:r>
      <w:r>
        <w:rPr>
          <w:rFonts w:hint="eastAsia" w:ascii="Times New Roman" w:eastAsia="仿宋"/>
          <w:color w:val="auto"/>
          <w:kern w:val="10"/>
          <w:szCs w:val="32"/>
        </w:rPr>
        <w:t>未</w:t>
      </w:r>
      <w:r>
        <w:rPr>
          <w:rFonts w:ascii="Times New Roman" w:eastAsia="仿宋"/>
          <w:color w:val="auto"/>
          <w:kern w:val="10"/>
          <w:szCs w:val="32"/>
        </w:rPr>
        <w:t>支付成交价款的，出让人有权解除合同并可请求违约赔偿，竞得人无权要求</w:t>
      </w:r>
      <w:r>
        <w:rPr>
          <w:rFonts w:hint="eastAsia" w:ascii="Times New Roman" w:eastAsia="仿宋"/>
          <w:color w:val="auto"/>
          <w:kern w:val="10"/>
          <w:szCs w:val="32"/>
        </w:rPr>
        <w:t>退</w:t>
      </w:r>
      <w:r>
        <w:rPr>
          <w:rFonts w:ascii="Times New Roman" w:eastAsia="仿宋"/>
          <w:color w:val="auto"/>
          <w:kern w:val="10"/>
          <w:szCs w:val="32"/>
        </w:rPr>
        <w:t>还定金。</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（二）交地时间和交地条件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20" w:lineRule="exact"/>
        <w:ind w:firstLine="640" w:firstLineChars="200"/>
        <w:rPr>
          <w:rFonts w:ascii="Times New Roman" w:eastAsia="仿宋"/>
          <w:color w:val="auto"/>
          <w:szCs w:val="32"/>
        </w:rPr>
      </w:pPr>
      <w:r>
        <w:rPr>
          <w:rFonts w:ascii="Times New Roman" w:eastAsia="仿宋"/>
          <w:color w:val="auto"/>
          <w:szCs w:val="32"/>
        </w:rPr>
        <w:t>上述地块竞得人应在签订《国有建设用地使用权出让合同》之日起1年内开工，并在开工后3年内竣工。</w:t>
      </w:r>
    </w:p>
    <w:p>
      <w:pPr>
        <w:spacing w:line="520" w:lineRule="exact"/>
        <w:ind w:firstLine="640" w:firstLineChars="200"/>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w:t>
      </w:r>
      <w:r>
        <w:rPr>
          <w:rFonts w:hint="eastAsia" w:ascii="Times New Roman" w:eastAsia="仿宋"/>
          <w:color w:val="auto"/>
          <w:szCs w:val="32"/>
          <w:lang w:val="en-US" w:eastAsia="zh-CN"/>
        </w:rPr>
        <w:t>1</w:t>
      </w:r>
      <w:r>
        <w:rPr>
          <w:rFonts w:ascii="Times New Roman" w:eastAsia="仿宋"/>
          <w:color w:val="auto"/>
          <w:szCs w:val="32"/>
        </w:rPr>
        <w:t>日，应向出让人支付相当于成交价款总额1‰的违约金。</w:t>
      </w:r>
    </w:p>
    <w:p>
      <w:pPr>
        <w:spacing w:line="520" w:lineRule="exact"/>
        <w:ind w:firstLine="640" w:firstLineChars="200"/>
        <w:rPr>
          <w:rFonts w:ascii="Times New Roman" w:eastAsia="仿宋"/>
          <w:color w:val="auto"/>
          <w:szCs w:val="32"/>
        </w:rPr>
      </w:pPr>
      <w:r>
        <w:rPr>
          <w:rFonts w:ascii="Times New Roman" w:eastAsia="仿宋"/>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ascii="Times New Roman" w:eastAsia="仿宋"/>
          <w:color w:val="auto"/>
          <w:szCs w:val="32"/>
        </w:rPr>
      </w:pPr>
      <w:r>
        <w:rPr>
          <w:rFonts w:ascii="Times New Roman" w:eastAsia="仿宋"/>
          <w:color w:val="auto"/>
          <w:szCs w:val="32"/>
        </w:rPr>
        <w:t>竞得人造成土地闲置，按《闲置土地处置办法》有关规定执行。</w:t>
      </w:r>
    </w:p>
    <w:p>
      <w:pPr>
        <w:spacing w:line="520" w:lineRule="exact"/>
        <w:ind w:firstLine="640" w:firstLineChars="200"/>
        <w:rPr>
          <w:rFonts w:ascii="Times New Roman" w:eastAsia="仿宋"/>
          <w:color w:val="auto"/>
          <w:szCs w:val="32"/>
        </w:rPr>
      </w:pPr>
      <w:r>
        <w:rPr>
          <w:rFonts w:ascii="Times New Roman" w:eastAsia="仿宋"/>
          <w:color w:val="auto"/>
          <w:szCs w:val="32"/>
        </w:rPr>
        <w:t>十二、注意事项</w:t>
      </w:r>
    </w:p>
    <w:p>
      <w:pPr>
        <w:spacing w:line="52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eastAsia="仿宋"/>
          <w:color w:val="auto"/>
          <w:szCs w:val="32"/>
        </w:rPr>
        <w:t>竞买人</w:t>
      </w:r>
      <w:bookmarkEnd w:id="0"/>
      <w:r>
        <w:rPr>
          <w:rFonts w:ascii="Times New Roman" w:eastAsia="仿宋"/>
          <w:color w:val="auto"/>
          <w:szCs w:val="32"/>
        </w:rPr>
        <w:t>对拍卖文件及地块现状无异议并全部接受，并对有关承诺承担法律责任。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spacing w:line="52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spacing w:line="52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spacing w:line="52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spacing w:line="52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spacing w:line="520" w:lineRule="exact"/>
        <w:ind w:firstLine="640" w:firstLineChars="200"/>
        <w:rPr>
          <w:rFonts w:ascii="Times New Roman" w:eastAsia="仿宋"/>
          <w:color w:val="auto"/>
          <w:szCs w:val="32"/>
        </w:rPr>
      </w:pPr>
      <w:r>
        <w:rPr>
          <w:rFonts w:ascii="Times New Roman" w:eastAsia="仿宋"/>
          <w:color w:val="auto"/>
          <w:szCs w:val="32"/>
        </w:rPr>
        <w:t>2</w:t>
      </w:r>
      <w:bookmarkStart w:id="1" w:name="OLE_LINK2"/>
      <w:r>
        <w:rPr>
          <w:rFonts w:ascii="Times New Roman" w:eastAsia="仿宋"/>
          <w:color w:val="auto"/>
          <w:szCs w:val="32"/>
        </w:rPr>
        <w:t>．</w:t>
      </w:r>
      <w:bookmarkEnd w:id="1"/>
      <w:r>
        <w:rPr>
          <w:rFonts w:ascii="Times New Roman" w:eastAsia="仿宋"/>
          <w:color w:val="auto"/>
          <w:szCs w:val="32"/>
        </w:rPr>
        <w:t>竞得人逾期或拒绝签订《国有建设用地使用权出让合同》的。</w:t>
      </w:r>
    </w:p>
    <w:p>
      <w:pPr>
        <w:spacing w:line="52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spacing w:line="52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1"/>
        </w:numPr>
        <w:spacing w:line="52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ascii="Times New Roman" w:eastAsia="仿宋"/>
          <w:color w:val="auto"/>
          <w:szCs w:val="32"/>
        </w:rPr>
      </w:pPr>
      <w:r>
        <w:rPr>
          <w:rFonts w:ascii="Times New Roman" w:eastAsia="仿宋"/>
          <w:color w:val="auto"/>
          <w:szCs w:val="32"/>
        </w:rPr>
        <w:t>注：按上述费率</w:t>
      </w:r>
      <w:r>
        <w:rPr>
          <w:rFonts w:hint="eastAsia" w:ascii="Times New Roman" w:eastAsia="仿宋"/>
          <w:color w:val="auto"/>
          <w:szCs w:val="32"/>
        </w:rPr>
        <w:t>分级累进</w:t>
      </w:r>
      <w:r>
        <w:rPr>
          <w:rFonts w:ascii="Times New Roman" w:eastAsia="仿宋"/>
          <w:color w:val="auto"/>
          <w:szCs w:val="32"/>
        </w:rPr>
        <w:t>计收</w:t>
      </w:r>
      <w:r>
        <w:rPr>
          <w:rFonts w:hint="eastAsia" w:ascii="Times New Roman" w:eastAsia="仿宋"/>
          <w:color w:val="auto"/>
          <w:szCs w:val="32"/>
        </w:rPr>
        <w:t>，</w:t>
      </w:r>
      <w:r>
        <w:rPr>
          <w:rFonts w:ascii="Times New Roman" w:eastAsia="仿宋"/>
          <w:color w:val="auto"/>
          <w:szCs w:val="32"/>
        </w:rPr>
        <w:t>每宗收费金额不足100元的按100元收取。</w:t>
      </w:r>
    </w:p>
    <w:p>
      <w:pPr>
        <w:spacing w:line="520" w:lineRule="exact"/>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w:t>
      </w:r>
      <w:r>
        <w:rPr>
          <w:rFonts w:ascii="Times New Roman" w:eastAsia="仿宋"/>
          <w:bCs/>
          <w:color w:val="auto"/>
          <w:szCs w:val="32"/>
        </w:rPr>
        <w:t>交易服务费账户户名</w:t>
      </w:r>
      <w:r>
        <w:rPr>
          <w:rFonts w:ascii="Times New Roman" w:eastAsia="仿宋"/>
          <w:color w:val="auto"/>
          <w:szCs w:val="32"/>
        </w:rPr>
        <w:t>：泉州市产权交易中心有限公司，兴业银行泉州丰泽支行152690100100090830。</w:t>
      </w:r>
    </w:p>
    <w:p>
      <w:pPr>
        <w:spacing w:line="52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spacing w:line="52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（十四）</w:t>
      </w:r>
      <w:r>
        <w:rPr>
          <w:rFonts w:ascii="Times New Roman" w:eastAsia="仿宋"/>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ascii="Times New Roman" w:eastAsia="仿宋"/>
          <w:color w:val="auto"/>
          <w:szCs w:val="32"/>
        </w:rPr>
      </w:pPr>
    </w:p>
    <w:p>
      <w:pPr>
        <w:spacing w:line="520" w:lineRule="exact"/>
        <w:ind w:right="1440" w:rightChars="450"/>
        <w:jc w:val="right"/>
        <w:rPr>
          <w:rFonts w:ascii="Times New Roman" w:eastAsia="仿宋"/>
          <w:color w:val="auto"/>
          <w:szCs w:val="32"/>
        </w:rPr>
      </w:pPr>
      <w:r>
        <w:rPr>
          <w:rFonts w:ascii="Times New Roman" w:eastAsia="仿宋"/>
          <w:color w:val="auto"/>
          <w:szCs w:val="32"/>
        </w:rPr>
        <w:t>泉州市自然资源和规划局</w:t>
      </w:r>
    </w:p>
    <w:p>
      <w:pPr>
        <w:spacing w:line="520" w:lineRule="exact"/>
        <w:ind w:right="1920" w:rightChars="600"/>
        <w:jc w:val="right"/>
        <w:rPr>
          <w:rFonts w:ascii="Times New Roman" w:eastAsia="仿宋"/>
          <w:color w:val="auto"/>
          <w:szCs w:val="32"/>
        </w:rPr>
      </w:pPr>
      <w:r>
        <w:rPr>
          <w:rFonts w:ascii="Times New Roman" w:eastAsia="仿宋"/>
          <w:color w:val="auto"/>
          <w:szCs w:val="32"/>
        </w:rPr>
        <w:t>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lang w:val="en-US" w:eastAsia="zh-CN"/>
        </w:rPr>
        <w:t>30</w:t>
      </w:r>
      <w:r>
        <w:rPr>
          <w:rFonts w:ascii="Times New Roman" w:eastAsia="仿宋"/>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F3FC414-03C0-4EA7-B1C4-AAF9729EF551}"/>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6298D4A1-3402-4C62-A155-2219EB94BFFA}"/>
  </w:font>
  <w:font w:name="仿宋">
    <w:panose1 w:val="02010609060101010101"/>
    <w:charset w:val="86"/>
    <w:family w:val="modern"/>
    <w:pitch w:val="default"/>
    <w:sig w:usb0="800002BF" w:usb1="38CF7CFA" w:usb2="00000016" w:usb3="00000000" w:csb0="00040001" w:csb1="00000000"/>
    <w:embedRegular r:id="rId3" w:fontKey="{150E1201-79B1-4108-A327-452D6E24765C}"/>
  </w:font>
  <w:font w:name="楷体_GB2312">
    <w:altName w:val="楷体"/>
    <w:panose1 w:val="02010609030101010101"/>
    <w:charset w:val="86"/>
    <w:family w:val="modern"/>
    <w:pitch w:val="default"/>
    <w:sig w:usb0="00000000" w:usb1="00000000" w:usb2="00000000" w:usb3="00000000" w:csb0="00040000" w:csb1="00000000"/>
    <w:embedRegular r:id="rId4" w:fontKey="{E28DF837-D545-4956-89EF-338ACB7B1BC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5"/>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D15067F"/>
    <w:rsid w:val="3DB14890"/>
    <w:rsid w:val="3E8C3A26"/>
    <w:rsid w:val="3F73645C"/>
    <w:rsid w:val="412A0477"/>
    <w:rsid w:val="42041D48"/>
    <w:rsid w:val="45D07A7B"/>
    <w:rsid w:val="45FB48A4"/>
    <w:rsid w:val="48DB5365"/>
    <w:rsid w:val="48E2729B"/>
    <w:rsid w:val="4BDF7549"/>
    <w:rsid w:val="4DF37842"/>
    <w:rsid w:val="4F46621E"/>
    <w:rsid w:val="53417DE8"/>
    <w:rsid w:val="545D6861"/>
    <w:rsid w:val="551E49A7"/>
    <w:rsid w:val="565C1810"/>
    <w:rsid w:val="58805E0B"/>
    <w:rsid w:val="59FFFD36"/>
    <w:rsid w:val="5A100A69"/>
    <w:rsid w:val="5AC66E6D"/>
    <w:rsid w:val="5C2F2B85"/>
    <w:rsid w:val="5D711BC1"/>
    <w:rsid w:val="5DC00719"/>
    <w:rsid w:val="5E6370DC"/>
    <w:rsid w:val="5E7210B7"/>
    <w:rsid w:val="5EBE1F44"/>
    <w:rsid w:val="5EF61BEE"/>
    <w:rsid w:val="5FFCDEF8"/>
    <w:rsid w:val="61E31F82"/>
    <w:rsid w:val="623173B1"/>
    <w:rsid w:val="627AADA0"/>
    <w:rsid w:val="64B6114A"/>
    <w:rsid w:val="654D6D68"/>
    <w:rsid w:val="67835892"/>
    <w:rsid w:val="69287FF9"/>
    <w:rsid w:val="69BA7FBC"/>
    <w:rsid w:val="69EF4473"/>
    <w:rsid w:val="69F5315F"/>
    <w:rsid w:val="6C5E3ED7"/>
    <w:rsid w:val="6D601559"/>
    <w:rsid w:val="6DC95D5B"/>
    <w:rsid w:val="6F4A2587"/>
    <w:rsid w:val="6F565F34"/>
    <w:rsid w:val="6F817756"/>
    <w:rsid w:val="706C57A0"/>
    <w:rsid w:val="70856287"/>
    <w:rsid w:val="71CC5BD1"/>
    <w:rsid w:val="735B762D"/>
    <w:rsid w:val="75BE6923"/>
    <w:rsid w:val="75DE796D"/>
    <w:rsid w:val="761B3A3C"/>
    <w:rsid w:val="772C6592"/>
    <w:rsid w:val="7C614DBC"/>
    <w:rsid w:val="7CED3003"/>
    <w:rsid w:val="7CFE5411"/>
    <w:rsid w:val="7DC16531"/>
    <w:rsid w:val="7DFD2408"/>
    <w:rsid w:val="B6F5B665"/>
    <w:rsid w:val="F33752BE"/>
    <w:rsid w:val="FBBFE06A"/>
    <w:rsid w:val="FD9FE1A1"/>
    <w:rsid w:val="FED7EB8E"/>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sz w:val="24"/>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Char"/>
    <w:basedOn w:val="1"/>
    <w:qFormat/>
    <w:uiPriority w:val="0"/>
  </w:style>
  <w:style w:type="paragraph" w:customStyle="1" w:styleId="16">
    <w:name w:val="_Style 3"/>
    <w:basedOn w:val="1"/>
    <w:qFormat/>
    <w:uiPriority w:val="0"/>
  </w:style>
  <w:style w:type="paragraph" w:customStyle="1" w:styleId="17">
    <w:name w:val="Char Char"/>
    <w:basedOn w:val="1"/>
    <w:qFormat/>
    <w:uiPriority w:val="0"/>
    <w:rPr>
      <w:rFonts w:ascii="Times New Roman" w:eastAsia="宋体"/>
      <w:color w:val="auto"/>
      <w:kern w:val="2"/>
      <w:sz w:val="21"/>
      <w:szCs w:val="24"/>
    </w:rPr>
  </w:style>
  <w:style w:type="paragraph" w:customStyle="1" w:styleId="18">
    <w:name w:val="Char Char8"/>
    <w:basedOn w:val="1"/>
    <w:qFormat/>
    <w:uiPriority w:val="0"/>
    <w:rPr>
      <w:rFonts w:ascii="Times New Roman" w:eastAsia="宋体"/>
      <w:color w:val="auto"/>
      <w:kern w:val="2"/>
      <w:sz w:val="21"/>
      <w:szCs w:val="24"/>
    </w:rPr>
  </w:style>
  <w:style w:type="paragraph" w:customStyle="1" w:styleId="19">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11</Pages>
  <Words>5718</Words>
  <Characters>6055</Characters>
  <Lines>45</Lines>
  <Paragraphs>12</Paragraphs>
  <TotalTime>2</TotalTime>
  <ScaleCrop>false</ScaleCrop>
  <LinksUpToDate>false</LinksUpToDate>
  <CharactersWithSpaces>6059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2019-12-08T07:04:00Z</dcterms:created>
  <dc:creator>未羽</dc:creator>
  <cp:lastModifiedBy>，</cp:lastModifiedBy>
  <cp:lastPrinted>2021-11-27T15:02:00Z</cp:lastPrinted>
  <dcterms:modified xsi:type="dcterms:W3CDTF">2024-05-29T03:31:24Z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147DB053FB7B4A7CAC58A0FE60B8BF0F</vt:lpwstr>
  </property>
</Properties>
</file>