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丰202</w:t>
      </w:r>
      <w:r>
        <w:rPr>
          <w:rFonts w:hint="eastAsia" w:ascii="Times New Roman" w:eastAsia="方正小标宋简体"/>
          <w:bCs/>
          <w:color w:val="auto"/>
          <w:sz w:val="44"/>
          <w:szCs w:val="44"/>
          <w:lang w:val="en-US" w:eastAsia="zh-CN"/>
        </w:rPr>
        <w:t>4</w:t>
      </w:r>
      <w:r>
        <w:rPr>
          <w:rFonts w:hint="eastAsia" w:ascii="Times New Roman" w:eastAsia="方正小标宋简体"/>
          <w:bCs/>
          <w:color w:val="auto"/>
          <w:sz w:val="44"/>
          <w:szCs w:val="44"/>
        </w:rPr>
        <w:t>-</w:t>
      </w:r>
      <w:r>
        <w:rPr>
          <w:rFonts w:hint="eastAsia" w:ascii="Times New Roman" w:eastAsia="方正小标宋简体"/>
          <w:bCs/>
          <w:color w:val="auto"/>
          <w:sz w:val="44"/>
          <w:szCs w:val="44"/>
          <w:lang w:val="en-US" w:eastAsia="zh-CN"/>
        </w:rPr>
        <w:t>2</w:t>
      </w:r>
      <w:r>
        <w:rPr>
          <w:rFonts w:hint="eastAsia" w:ascii="Times New Roman" w:eastAsia="方正小标宋简体"/>
          <w:bCs/>
          <w:color w:val="auto"/>
          <w:sz w:val="44"/>
          <w:szCs w:val="44"/>
        </w:rPr>
        <w:t>号</w:t>
      </w:r>
      <w:r>
        <w:rPr>
          <w:rFonts w:ascii="Times New Roman" w:eastAsia="方正小标宋简体"/>
          <w:bCs/>
          <w:color w:val="auto"/>
          <w:sz w:val="44"/>
          <w:szCs w:val="44"/>
        </w:rPr>
        <w:t>地块国有建设用地</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使用权拍卖出让须知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w:t>
      </w:r>
      <w:bookmarkStart w:id="2" w:name="_GoBack"/>
      <w:bookmarkEnd w:id="2"/>
      <w:r>
        <w:rPr>
          <w:rFonts w:ascii="Times New Roman" w:eastAsia="仿宋"/>
          <w:color w:val="auto"/>
          <w:szCs w:val="32"/>
        </w:rPr>
        <w:t>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rPr>
        <w:t>丰202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eastAsia" w:ascii="Times New Roman" w:eastAsia="仿宋"/>
          <w:color w:val="auto"/>
          <w:sz w:val="30"/>
          <w:szCs w:val="30"/>
          <w:lang w:val="en-US" w:eastAsia="zh-CN"/>
        </w:rPr>
        <w:t>9</w:t>
      </w:r>
      <w:r>
        <w:rPr>
          <w:rFonts w:ascii="Times New Roman" w:eastAsia="仿宋"/>
          <w:color w:val="auto"/>
          <w:sz w:val="30"/>
          <w:szCs w:val="30"/>
        </w:rPr>
        <w:t>月</w:t>
      </w:r>
      <w:r>
        <w:rPr>
          <w:rFonts w:hint="eastAsia" w:ascii="Times New Roman" w:eastAsia="仿宋"/>
          <w:color w:val="auto"/>
          <w:sz w:val="30"/>
          <w:szCs w:val="30"/>
          <w:lang w:val="en-US" w:eastAsia="zh-CN"/>
        </w:rPr>
        <w:t>3</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三、本次国有建设用地使用权拍卖出让按照价高者得的原则确定竞得人，不设保留价。</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80" w:lineRule="exact"/>
        <w:ind w:firstLine="643" w:firstLineChars="200"/>
        <w:rPr>
          <w:rFonts w:hint="eastAsia" w:eastAsia="仿宋_GB2312"/>
          <w:color w:val="000000"/>
          <w:sz w:val="32"/>
          <w:szCs w:val="32"/>
        </w:rPr>
      </w:pPr>
      <w:r>
        <w:rPr>
          <w:rFonts w:hint="eastAsia" w:ascii="Times New Roman" w:eastAsia="仿宋"/>
          <w:b/>
          <w:color w:val="auto"/>
          <w:szCs w:val="32"/>
          <w:lang w:eastAsia="zh-CN"/>
        </w:rPr>
        <w:t>丰</w:t>
      </w:r>
      <w:r>
        <w:rPr>
          <w:rFonts w:hint="eastAsia" w:ascii="Times New Roman" w:eastAsia="仿宋"/>
          <w:b/>
          <w:color w:val="auto"/>
          <w:szCs w:val="32"/>
          <w:lang w:val="en-US" w:eastAsia="zh-CN"/>
        </w:rPr>
        <w:t>2024-2号地块</w:t>
      </w:r>
      <w:r>
        <w:rPr>
          <w:rFonts w:hint="eastAsia" w:ascii="Times New Roman" w:eastAsia="仿宋"/>
          <w:b/>
          <w:color w:val="auto"/>
          <w:szCs w:val="32"/>
        </w:rPr>
        <w:t>。</w:t>
      </w:r>
      <w:r>
        <w:rPr>
          <w:rFonts w:hint="eastAsia" w:ascii="Times New Roman" w:eastAsia="仿宋"/>
          <w:color w:val="auto"/>
          <w:szCs w:val="32"/>
          <w:lang w:val="en-US" w:eastAsia="zh-CN"/>
        </w:rPr>
        <w:t>该宗地即2022-59号储备用地，位于丰泽区东海后埔片区，规划海丝大街（东滨大道）南侧、丰海路北侧、经八路东侧、经九路西侧，土地面积45655.53</w:t>
      </w:r>
      <w:r>
        <w:rPr>
          <w:rFonts w:hint="eastAsia" w:ascii="Times New Roman" w:eastAsia="仿宋"/>
          <w:color w:val="auto"/>
          <w:szCs w:val="32"/>
          <w:lang w:val="zh-CN" w:eastAsia="zh-CN"/>
        </w:rPr>
        <w:t>平方米（约合</w:t>
      </w:r>
      <w:r>
        <w:rPr>
          <w:rFonts w:hint="eastAsia" w:ascii="Times New Roman" w:eastAsia="仿宋"/>
          <w:color w:val="auto"/>
          <w:szCs w:val="32"/>
          <w:lang w:val="en-US" w:eastAsia="zh-CN"/>
        </w:rPr>
        <w:t>68.48</w:t>
      </w:r>
      <w:r>
        <w:rPr>
          <w:rFonts w:hint="eastAsia" w:ascii="Times New Roman" w:eastAsia="仿宋"/>
          <w:color w:val="auto"/>
          <w:szCs w:val="32"/>
          <w:lang w:val="zh-CN" w:eastAsia="zh-CN"/>
        </w:rPr>
        <w:t>亩），其中沿经八路建设40米宽绿化带（约9887平方米，不纳入规划指标计算基数）。规划用途为商业、商务金融用地。</w:t>
      </w:r>
      <w:r>
        <w:rPr>
          <w:rFonts w:hint="eastAsia" w:ascii="Times New Roman" w:eastAsia="仿宋"/>
          <w:color w:val="auto"/>
          <w:szCs w:val="32"/>
          <w:lang w:val="en-US" w:eastAsia="zh-CN"/>
        </w:rPr>
        <w:t>主要技术指标为：容积率6.5以下，建筑密度50%以下，绿地率10%以上，建筑高度140米以下，并满足航空净高要求。建设内容为商业、办公场所。其中，</w:t>
      </w:r>
      <w:r>
        <w:rPr>
          <w:rFonts w:hint="eastAsia" w:ascii="Times New Roman" w:eastAsia="仿宋"/>
          <w:color w:val="auto"/>
          <w:szCs w:val="32"/>
          <w:lang w:val="zh-CN" w:eastAsia="zh-CN"/>
        </w:rPr>
        <w:t>商业计容建筑面积3.5万平方米，其余为办公及配套设施。</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1.丰202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号地块商业计容建筑面积3</w:t>
      </w:r>
      <w:r>
        <w:rPr>
          <w:rFonts w:hint="eastAsia" w:ascii="Times New Roman" w:eastAsia="仿宋"/>
          <w:color w:val="auto"/>
          <w:szCs w:val="32"/>
          <w:lang w:val="en-US" w:eastAsia="zh-CN"/>
        </w:rPr>
        <w:t>.5</w:t>
      </w:r>
      <w:r>
        <w:rPr>
          <w:rFonts w:hint="eastAsia" w:ascii="Times New Roman" w:eastAsia="仿宋"/>
          <w:color w:val="auto"/>
          <w:szCs w:val="32"/>
        </w:rPr>
        <w:t>万平方米，其中1.</w:t>
      </w:r>
      <w:r>
        <w:rPr>
          <w:rFonts w:hint="eastAsia" w:ascii="Times New Roman" w:eastAsia="仿宋"/>
          <w:color w:val="auto"/>
          <w:szCs w:val="32"/>
          <w:lang w:val="en-US" w:eastAsia="zh-CN"/>
        </w:rPr>
        <w:t>7</w:t>
      </w:r>
      <w:r>
        <w:rPr>
          <w:rFonts w:hint="eastAsia" w:ascii="Times New Roman" w:eastAsia="仿宋"/>
          <w:color w:val="auto"/>
          <w:szCs w:val="32"/>
        </w:rPr>
        <w:t>5万平方米商业计容建筑面积可分割销售，1.75万平方米商业计容建筑面积不可分割销售，其余为办公（可分割销售）及配套设施。</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2.丰202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号地块可分割销售商业部分楼面地价</w:t>
      </w:r>
      <w:r>
        <w:rPr>
          <w:rFonts w:hint="eastAsia" w:ascii="Times New Roman" w:eastAsia="仿宋"/>
          <w:color w:val="auto"/>
          <w:szCs w:val="32"/>
          <w:lang w:val="en-US" w:eastAsia="zh-CN"/>
        </w:rPr>
        <w:t>6895</w:t>
      </w:r>
      <w:r>
        <w:rPr>
          <w:rFonts w:hint="eastAsia" w:ascii="Times New Roman" w:eastAsia="仿宋"/>
          <w:color w:val="auto"/>
          <w:szCs w:val="32"/>
        </w:rPr>
        <w:t>元/平方米，不可分割销售商业部分楼面地价2977</w:t>
      </w:r>
      <w:r>
        <w:rPr>
          <w:rFonts w:hint="eastAsia" w:ascii="Times New Roman" w:eastAsia="仿宋"/>
          <w:color w:val="auto"/>
          <w:szCs w:val="32"/>
          <w:lang w:val="en-US" w:eastAsia="zh-CN"/>
        </w:rPr>
        <w:t>.5</w:t>
      </w:r>
      <w:r>
        <w:rPr>
          <w:rFonts w:hint="eastAsia" w:ascii="Times New Roman" w:eastAsia="仿宋"/>
          <w:color w:val="auto"/>
          <w:szCs w:val="32"/>
        </w:rPr>
        <w:t>元/平方米，可分割销售办公部分楼面地价4300元/平方米。最终成交地价若高于起拍总价，地价溢价部分计入可分割销售办公部分地价。</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3.丰202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号地块由非泉州市丰泽区的法人竞得的，须在泉州市丰泽区注册成立新公司，所有税收应在当地缴纳。</w:t>
      </w:r>
    </w:p>
    <w:p>
      <w:pPr>
        <w:widowControl/>
        <w:spacing w:line="520" w:lineRule="exact"/>
        <w:ind w:firstLine="640" w:firstLineChars="200"/>
        <w:rPr>
          <w:rFonts w:hint="eastAsia"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hint="eastAsia" w:ascii="Times New Roman" w:eastAsia="仿宋"/>
          <w:color w:val="auto"/>
          <w:szCs w:val="32"/>
        </w:rPr>
      </w:pPr>
      <w:r>
        <w:rPr>
          <w:rFonts w:ascii="Times New Roman" w:eastAsia="仿宋"/>
          <w:color w:val="auto"/>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法人、自然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2</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号</w:t>
      </w:r>
      <w:r>
        <w:rPr>
          <w:rFonts w:ascii="Times New Roman" w:eastAsia="仿宋"/>
          <w:color w:val="auto"/>
          <w:szCs w:val="32"/>
        </w:rPr>
        <w:t>地块的竞买保证金为人民币（大写）</w:t>
      </w:r>
      <w:r>
        <w:rPr>
          <w:rFonts w:hint="eastAsia" w:ascii="Times New Roman" w:eastAsia="仿宋"/>
          <w:color w:val="auto"/>
          <w:szCs w:val="32"/>
          <w:lang w:eastAsia="zh-CN"/>
        </w:rPr>
        <w:t>贰</w:t>
      </w:r>
      <w:r>
        <w:rPr>
          <w:rFonts w:hint="eastAsia" w:ascii="Times New Roman" w:eastAsia="仿宋"/>
          <w:color w:val="auto"/>
          <w:szCs w:val="32"/>
        </w:rPr>
        <w:t>亿</w:t>
      </w:r>
      <w:r>
        <w:rPr>
          <w:rFonts w:hint="eastAsia" w:ascii="Times New Roman" w:eastAsia="仿宋"/>
          <w:color w:val="auto"/>
          <w:szCs w:val="32"/>
          <w:lang w:eastAsia="zh-CN"/>
        </w:rPr>
        <w:t>零肆佰肆拾</w:t>
      </w:r>
      <w:r>
        <w:rPr>
          <w:rFonts w:hint="eastAsia" w:ascii="Times New Roman" w:eastAsia="仿宋"/>
          <w:color w:val="auto"/>
          <w:szCs w:val="32"/>
        </w:rPr>
        <w:t>万元</w:t>
      </w:r>
      <w:r>
        <w:rPr>
          <w:rFonts w:ascii="Times New Roman" w:eastAsia="仿宋"/>
          <w:color w:val="auto"/>
          <w:szCs w:val="32"/>
        </w:rPr>
        <w:t>整（￥</w:t>
      </w:r>
      <w:r>
        <w:rPr>
          <w:rFonts w:hint="eastAsia" w:ascii="Times New Roman" w:eastAsia="仿宋"/>
          <w:color w:val="auto"/>
          <w:szCs w:val="32"/>
          <w:lang w:val="en-US" w:eastAsia="zh-CN"/>
        </w:rPr>
        <w:t>204</w:t>
      </w:r>
      <w:r>
        <w:rPr>
          <w:rFonts w:ascii="Times New Roman" w:eastAsia="仿宋"/>
          <w:color w:val="auto"/>
          <w:szCs w:val="32"/>
        </w:rPr>
        <w:t>,</w:t>
      </w:r>
      <w:r>
        <w:rPr>
          <w:rFonts w:hint="eastAsia" w:ascii="Times New Roman" w:eastAsia="仿宋"/>
          <w:color w:val="auto"/>
          <w:szCs w:val="32"/>
          <w:lang w:val="en-US" w:eastAsia="zh-CN"/>
        </w:rPr>
        <w:t>4</w:t>
      </w:r>
      <w:r>
        <w:rPr>
          <w:rFonts w:ascii="Times New Roman" w:eastAsia="仿宋"/>
          <w:color w:val="auto"/>
          <w:szCs w:val="32"/>
        </w:rPr>
        <w:t>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16</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2</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lang w:val="en-US" w:eastAsia="zh-CN"/>
        </w:rPr>
        <w:t>18</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2</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w:t>
      </w:r>
      <w:r>
        <w:rPr>
          <w:rFonts w:ascii="Times New Roman" w:eastAsia="仿宋"/>
          <w:color w:val="auto"/>
          <w:szCs w:val="32"/>
        </w:rPr>
        <w:t>．</w:t>
      </w:r>
      <w:r>
        <w:rPr>
          <w:rFonts w:eastAsia="仿宋"/>
          <w:color w:val="000000" w:themeColor="text1"/>
          <w:szCs w:val="32"/>
        </w:rPr>
        <w:t>自然人</w:t>
      </w:r>
      <w:r>
        <w:rPr>
          <w:rFonts w:ascii="Times New Roman" w:eastAsia="仿宋"/>
          <w:color w:val="auto"/>
          <w:szCs w:val="32"/>
        </w:rPr>
        <w:t>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（4）申请人有效身份证明文件；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3</w:t>
      </w:r>
      <w:r>
        <w:rPr>
          <w:rFonts w:ascii="Times New Roman" w:eastAsia="仿宋"/>
          <w:color w:val="auto"/>
          <w:szCs w:val="32"/>
        </w:rPr>
        <w:t>．其他组织申请的，应提交下列文件：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4</w:t>
      </w:r>
      <w:r>
        <w:rPr>
          <w:rFonts w:ascii="Times New Roman" w:eastAsia="仿宋"/>
          <w:color w:val="auto"/>
          <w:szCs w:val="32"/>
        </w:rPr>
        <w:t>．境外申请人申请的，应提交下列文件：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hint="eastAsia"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19</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20</w:t>
      </w:r>
      <w:r>
        <w:rPr>
          <w:rFonts w:ascii="Times New Roman" w:eastAsia="仿宋"/>
          <w:color w:val="auto"/>
          <w:szCs w:val="32"/>
        </w:rPr>
        <w:t>日组织竞买人对拟出让地块进行现场踏勘。需由我局派员陪同实地踏勘的，请提前与我局联系（联系电话：0595－22769</w:t>
      </w:r>
      <w:r>
        <w:rPr>
          <w:rFonts w:hint="eastAsia" w:ascii="Times New Roman" w:eastAsia="仿宋"/>
          <w:color w:val="auto"/>
          <w:szCs w:val="32"/>
          <w:lang w:val="en-US" w:eastAsia="zh-CN"/>
        </w:rPr>
        <w:t>01</w:t>
      </w:r>
      <w:r>
        <w:rPr>
          <w:rFonts w:ascii="Times New Roman" w:eastAsia="仿宋"/>
          <w:color w:val="auto"/>
          <w:szCs w:val="32"/>
        </w:rPr>
        <w:t>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2</w:t>
      </w:r>
      <w:r>
        <w:rPr>
          <w:rFonts w:ascii="Times New Roman" w:eastAsia="仿宋"/>
          <w:color w:val="auto"/>
          <w:szCs w:val="32"/>
        </w:rPr>
        <w:t>号地块，起叫价为人民币（大写）</w:t>
      </w:r>
      <w:r>
        <w:rPr>
          <w:rFonts w:hint="eastAsia" w:ascii="Times New Roman" w:eastAsia="仿宋"/>
          <w:color w:val="auto"/>
          <w:szCs w:val="32"/>
          <w:lang w:eastAsia="zh-CN"/>
        </w:rPr>
        <w:t>壹拾</w:t>
      </w:r>
      <w:r>
        <w:rPr>
          <w:rFonts w:hint="eastAsia" w:ascii="Times New Roman" w:eastAsia="仿宋"/>
          <w:color w:val="auto"/>
          <w:szCs w:val="32"/>
        </w:rPr>
        <w:t>亿</w:t>
      </w:r>
      <w:r>
        <w:rPr>
          <w:rFonts w:hint="eastAsia" w:ascii="Times New Roman" w:eastAsia="仿宋"/>
          <w:color w:val="auto"/>
          <w:szCs w:val="32"/>
          <w:lang w:eastAsia="zh-CN"/>
        </w:rPr>
        <w:t>零贰</w:t>
      </w:r>
      <w:r>
        <w:rPr>
          <w:rFonts w:hint="eastAsia" w:ascii="Times New Roman" w:eastAsia="仿宋"/>
          <w:color w:val="auto"/>
          <w:szCs w:val="32"/>
        </w:rPr>
        <w:t>仟</w:t>
      </w:r>
      <w:r>
        <w:rPr>
          <w:rFonts w:hint="eastAsia" w:ascii="Times New Roman" w:eastAsia="仿宋"/>
          <w:color w:val="auto"/>
          <w:szCs w:val="32"/>
          <w:lang w:eastAsia="zh-CN"/>
        </w:rPr>
        <w:t>贰</w:t>
      </w:r>
      <w:r>
        <w:rPr>
          <w:rFonts w:hint="eastAsia" w:ascii="Times New Roman" w:eastAsia="仿宋"/>
          <w:color w:val="auto"/>
          <w:szCs w:val="32"/>
        </w:rPr>
        <w:t>佰万元</w:t>
      </w:r>
      <w:r>
        <w:rPr>
          <w:rFonts w:ascii="Times New Roman" w:eastAsia="仿宋"/>
          <w:color w:val="auto"/>
          <w:szCs w:val="32"/>
        </w:rPr>
        <w:t>整（￥</w:t>
      </w:r>
      <w:r>
        <w:rPr>
          <w:rFonts w:hint="eastAsia" w:ascii="Times New Roman" w:eastAsia="仿宋"/>
          <w:color w:val="auto"/>
          <w:szCs w:val="32"/>
          <w:lang w:val="en-US" w:eastAsia="zh-CN"/>
        </w:rPr>
        <w:t>1,022</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伍</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val="en-US" w:eastAsia="zh-CN"/>
        </w:rPr>
        <w:t>5</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5</w:t>
      </w:r>
      <w:r>
        <w:rPr>
          <w:rFonts w:hint="eastAsia" w:ascii="Times New Roman" w:eastAsia="仿宋"/>
          <w:color w:val="auto"/>
          <w:szCs w:val="32"/>
        </w:rPr>
        <w:t>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3</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kern w:val="10"/>
          <w:szCs w:val="32"/>
          <w:lang w:val="en-US" w:eastAsia="zh-CN"/>
        </w:rPr>
        <w:t>5</w:t>
      </w:r>
      <w:r>
        <w:rPr>
          <w:rFonts w:ascii="Times New Roman" w:eastAsia="仿宋"/>
          <w:color w:val="auto"/>
          <w:kern w:val="10"/>
          <w:szCs w:val="32"/>
        </w:rPr>
        <w:t>个月内交清</w:t>
      </w:r>
      <w:r>
        <w:rPr>
          <w:rFonts w:hint="eastAsia" w:ascii="Times New Roman" w:eastAsia="仿宋"/>
          <w:color w:val="auto"/>
          <w:kern w:val="10"/>
          <w:szCs w:val="32"/>
        </w:rPr>
        <w:t>。</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kern w:val="10"/>
          <w:szCs w:val="32"/>
        </w:rPr>
        <w:t>缴</w:t>
      </w:r>
      <w:r>
        <w:rPr>
          <w:rFonts w:ascii="Times New Roman" w:eastAsia="仿宋"/>
          <w:color w:val="auto"/>
          <w:kern w:val="10"/>
          <w:szCs w:val="32"/>
        </w:rPr>
        <w:t>后仍</w:t>
      </w:r>
      <w:r>
        <w:rPr>
          <w:rFonts w:hint="eastAsia" w:ascii="Times New Roman" w:eastAsia="仿宋"/>
          <w:color w:val="auto"/>
          <w:kern w:val="10"/>
          <w:szCs w:val="32"/>
        </w:rPr>
        <w:t>未</w:t>
      </w:r>
      <w:r>
        <w:rPr>
          <w:rFonts w:ascii="Times New Roman" w:eastAsia="仿宋"/>
          <w:color w:val="auto"/>
          <w:kern w:val="10"/>
          <w:szCs w:val="32"/>
        </w:rPr>
        <w:t>支付成交价款的，出让人有权解除合同并可请求违约赔偿，竞得人无权要求</w:t>
      </w:r>
      <w:r>
        <w:rPr>
          <w:rFonts w:hint="eastAsia" w:ascii="Times New Roman" w:eastAsia="仿宋"/>
          <w:color w:val="auto"/>
          <w:kern w:val="10"/>
          <w:szCs w:val="32"/>
        </w:rPr>
        <w:t>退</w:t>
      </w:r>
      <w:r>
        <w:rPr>
          <w:rFonts w:ascii="Times New Roman" w:eastAsia="仿宋"/>
          <w:color w:val="auto"/>
          <w:kern w:val="10"/>
          <w:szCs w:val="32"/>
        </w:rPr>
        <w:t>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lang w:val="en-US" w:eastAsia="zh-CN"/>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ascii="Times New Roman" w:eastAsia="仿宋"/>
          <w:color w:val="auto"/>
          <w:szCs w:val="32"/>
        </w:rPr>
        <w:t>竞买人</w:t>
      </w:r>
      <w:bookmarkEnd w:id="0"/>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1" w:name="OLE_LINK2"/>
      <w:r>
        <w:rPr>
          <w:rFonts w:ascii="Times New Roman" w:eastAsia="仿宋"/>
          <w:color w:val="auto"/>
          <w:szCs w:val="32"/>
        </w:rPr>
        <w:t>．</w:t>
      </w:r>
      <w:bookmarkEnd w:id="1"/>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rPr>
          <w:rFonts w:ascii="Times New Roman" w:eastAsia="仿宋"/>
          <w:color w:val="auto"/>
          <w:szCs w:val="32"/>
        </w:rPr>
      </w:pPr>
    </w:p>
    <w:p>
      <w:pPr>
        <w:spacing w:line="520" w:lineRule="exact"/>
        <w:ind w:right="1440" w:rightChars="450"/>
        <w:rPr>
          <w:rFonts w:ascii="Times New Roman" w:eastAsia="仿宋"/>
          <w:color w:val="auto"/>
          <w:szCs w:val="32"/>
        </w:rPr>
      </w:pPr>
    </w:p>
    <w:p>
      <w:pPr>
        <w:spacing w:line="520" w:lineRule="exact"/>
        <w:ind w:right="1440" w:rightChars="450"/>
        <w:jc w:val="both"/>
        <w:rPr>
          <w:rFonts w:ascii="Times New Roman" w:eastAsia="仿宋"/>
          <w:color w:val="auto"/>
          <w:szCs w:val="32"/>
        </w:rPr>
      </w:pPr>
      <w:r>
        <w:rPr>
          <w:rFonts w:hint="eastAsia" w:ascii="Times New Roman" w:eastAsia="仿宋"/>
          <w:color w:val="auto"/>
          <w:szCs w:val="32"/>
          <w:lang w:val="en-US" w:eastAsia="zh-CN"/>
        </w:rPr>
        <w:t xml:space="preserve">                       </w:t>
      </w:r>
      <w:r>
        <w:rPr>
          <w:rFonts w:ascii="Times New Roman" w:eastAsia="仿宋"/>
          <w:color w:val="auto"/>
          <w:szCs w:val="32"/>
        </w:rPr>
        <w:t>泉州市自然资源和规划局</w:t>
      </w:r>
    </w:p>
    <w:p>
      <w:pPr>
        <w:spacing w:line="520" w:lineRule="exact"/>
        <w:ind w:right="1920" w:rightChars="600"/>
        <w:jc w:val="center"/>
        <w:rPr>
          <w:rFonts w:ascii="Times New Roman" w:eastAsia="仿宋"/>
          <w:color w:val="auto"/>
          <w:szCs w:val="32"/>
        </w:rPr>
      </w:pPr>
      <w:r>
        <w:rPr>
          <w:rFonts w:hint="eastAsia" w:ascii="Times New Roman" w:eastAsia="仿宋"/>
          <w:color w:val="auto"/>
          <w:szCs w:val="32"/>
          <w:lang w:val="en-US" w:eastAsia="zh-CN"/>
        </w:rPr>
        <w:t xml:space="preserve">                         </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14</w:t>
      </w:r>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1"/>
  </w:compat>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4829CC"/>
    <w:rsid w:val="105D2635"/>
    <w:rsid w:val="10801B04"/>
    <w:rsid w:val="13867A9F"/>
    <w:rsid w:val="14C702EB"/>
    <w:rsid w:val="157435CA"/>
    <w:rsid w:val="15956862"/>
    <w:rsid w:val="17646D55"/>
    <w:rsid w:val="17861AEB"/>
    <w:rsid w:val="185C25B1"/>
    <w:rsid w:val="19460CD8"/>
    <w:rsid w:val="1AB322F0"/>
    <w:rsid w:val="1F083EEB"/>
    <w:rsid w:val="1F351FAF"/>
    <w:rsid w:val="1F86792F"/>
    <w:rsid w:val="1FF746DA"/>
    <w:rsid w:val="20772D49"/>
    <w:rsid w:val="20B024A1"/>
    <w:rsid w:val="25205CF8"/>
    <w:rsid w:val="25E129FE"/>
    <w:rsid w:val="29535BBE"/>
    <w:rsid w:val="29D43836"/>
    <w:rsid w:val="2BD42381"/>
    <w:rsid w:val="2E9F243D"/>
    <w:rsid w:val="2EE17814"/>
    <w:rsid w:val="2FEF7D77"/>
    <w:rsid w:val="3566232B"/>
    <w:rsid w:val="3A314ED2"/>
    <w:rsid w:val="3A7D040E"/>
    <w:rsid w:val="3B0E44F4"/>
    <w:rsid w:val="3DB14890"/>
    <w:rsid w:val="3E8C3A26"/>
    <w:rsid w:val="3F73645C"/>
    <w:rsid w:val="412A0477"/>
    <w:rsid w:val="42041D48"/>
    <w:rsid w:val="45D07A7B"/>
    <w:rsid w:val="45FB48A4"/>
    <w:rsid w:val="48DB5365"/>
    <w:rsid w:val="4BDF7549"/>
    <w:rsid w:val="4DF37842"/>
    <w:rsid w:val="4F46621E"/>
    <w:rsid w:val="53417DE8"/>
    <w:rsid w:val="545D6861"/>
    <w:rsid w:val="551E49A7"/>
    <w:rsid w:val="565C1810"/>
    <w:rsid w:val="58805E0B"/>
    <w:rsid w:val="59FFFD36"/>
    <w:rsid w:val="5A100A69"/>
    <w:rsid w:val="5AC66E6D"/>
    <w:rsid w:val="5C2F2B85"/>
    <w:rsid w:val="5D711BC1"/>
    <w:rsid w:val="5DC00719"/>
    <w:rsid w:val="5E6370DC"/>
    <w:rsid w:val="5E7210B7"/>
    <w:rsid w:val="5EBE1F44"/>
    <w:rsid w:val="5EF61BEE"/>
    <w:rsid w:val="5FFCDEF8"/>
    <w:rsid w:val="61E31F82"/>
    <w:rsid w:val="627AADA0"/>
    <w:rsid w:val="64B6114A"/>
    <w:rsid w:val="654D6D68"/>
    <w:rsid w:val="67835892"/>
    <w:rsid w:val="69287FF9"/>
    <w:rsid w:val="69BA7FBC"/>
    <w:rsid w:val="69EF4473"/>
    <w:rsid w:val="69F5315F"/>
    <w:rsid w:val="6C5E3ED7"/>
    <w:rsid w:val="6D601559"/>
    <w:rsid w:val="6DC95D5B"/>
    <w:rsid w:val="6F4A2587"/>
    <w:rsid w:val="6F565F34"/>
    <w:rsid w:val="6F817756"/>
    <w:rsid w:val="6FE61248"/>
    <w:rsid w:val="706C57A0"/>
    <w:rsid w:val="70856287"/>
    <w:rsid w:val="71CC5BD1"/>
    <w:rsid w:val="726B0913"/>
    <w:rsid w:val="735B762D"/>
    <w:rsid w:val="75BE6923"/>
    <w:rsid w:val="75DE796D"/>
    <w:rsid w:val="772C6592"/>
    <w:rsid w:val="7C614DBC"/>
    <w:rsid w:val="7CED3003"/>
    <w:rsid w:val="7CFE5411"/>
    <w:rsid w:val="7DC16531"/>
    <w:rsid w:val="7DFD2408"/>
    <w:rsid w:val="B6F5B665"/>
    <w:rsid w:val="F33752BE"/>
    <w:rsid w:val="FBBFE06A"/>
    <w:rsid w:val="FD9FE1A1"/>
    <w:rsid w:val="FED7EB8E"/>
    <w:rsid w:val="FFF71578"/>
  </w:rsids>
  <m:mathPr>
    <m:lMargin m:val="0"/>
    <m:mathFont m:val="Cambria Math"/>
    <m:rMargin m:val="0"/>
    <m:wrapIndent m:val="1440"/>
    <m:brkBin m:val="before"/>
    <m:brkBinSub m:val="--"/>
    <m:defJc m:val="centerGroup"/>
    <m:intLim m:val="subSup"/>
    <m:naryLim m:val="undOvr"/>
    <m:smallFrac m:val=""/>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sz w:val="24"/>
    </w:rPr>
  </w:style>
  <w:style w:type="character" w:styleId="11">
    <w:name w:val="page number"/>
    <w:basedOn w:val="10"/>
    <w:qFormat/>
    <w:uiPriority w:val="0"/>
  </w:style>
  <w:style w:type="character" w:styleId="12">
    <w:name w:val="Hyperlink"/>
    <w:qFormat/>
    <w:uiPriority w:val="0"/>
    <w:rPr>
      <w:color w:val="0000FF"/>
      <w:u w:val="single"/>
    </w:rPr>
  </w:style>
  <w:style w:type="table" w:styleId="14">
    <w:name w:val="Table Grid"/>
    <w:basedOn w:val="1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har"/>
    <w:basedOn w:val="1"/>
    <w:qFormat/>
    <w:uiPriority w:val="0"/>
  </w:style>
  <w:style w:type="paragraph" w:customStyle="1" w:styleId="16">
    <w:name w:val="_Style 3"/>
    <w:basedOn w:val="1"/>
    <w:qFormat/>
    <w:uiPriority w:val="0"/>
  </w:style>
  <w:style w:type="paragraph" w:customStyle="1" w:styleId="17">
    <w:name w:val="Char Char"/>
    <w:basedOn w:val="1"/>
    <w:qFormat/>
    <w:uiPriority w:val="0"/>
    <w:rPr>
      <w:rFonts w:ascii="Times New Roman" w:eastAsia="宋体"/>
      <w:color w:val="auto"/>
      <w:kern w:val="2"/>
      <w:sz w:val="21"/>
      <w:szCs w:val="24"/>
    </w:rPr>
  </w:style>
  <w:style w:type="paragraph" w:customStyle="1" w:styleId="18">
    <w:name w:val="Char Char8"/>
    <w:basedOn w:val="1"/>
    <w:qFormat/>
    <w:uiPriority w:val="0"/>
    <w:rPr>
      <w:rFonts w:ascii="Times New Roman" w:eastAsia="宋体"/>
      <w:color w:val="auto"/>
      <w:kern w:val="2"/>
      <w:sz w:val="21"/>
      <w:szCs w:val="24"/>
    </w:rPr>
  </w:style>
  <w:style w:type="paragraph" w:customStyle="1" w:styleId="19">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12</Pages>
  <Words>959</Words>
  <Characters>5469</Characters>
  <Lines>45</Lines>
  <Paragraphs>12</Paragraphs>
  <ScaleCrop>false</ScaleCrop>
  <LinksUpToDate>false</LinksUpToDate>
  <CharactersWithSpaces>6416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2019-12-08T07:04:00Z</dcterms:created>
  <dc:creator>未羽</dc:creator>
  <cp:lastModifiedBy>lenovo</cp:lastModifiedBy>
  <cp:lastPrinted>2021-11-27T15:02:00Z</cp:lastPrinted>
  <dcterms:modified xsi:type="dcterms:W3CDTF">2024-08-14T01:28:00Z</dcterms:modified>
  <dc:title>国有建设用地使用权拍卖出让须知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147DB053FB7B4A7CAC58A0FE60B8BF0F</vt:lpwstr>
  </property>
</Properties>
</file>