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lang w:eastAsia="zh-CN"/>
        </w:rPr>
        <w:t>洛2023-6号等2宗地块</w:t>
      </w:r>
      <w:r>
        <w:rPr>
          <w:rFonts w:ascii="Times New Roman" w:eastAsia="方正小标宋简体"/>
          <w:bCs/>
          <w:color w:val="auto"/>
          <w:sz w:val="44"/>
          <w:szCs w:val="44"/>
        </w:rPr>
        <w:t>国有建设用地</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使</w:t>
      </w:r>
      <w:r>
        <w:rPr>
          <w:rFonts w:hint="eastAsia" w:ascii="Times New Roman" w:eastAsia="方正小标宋简体"/>
          <w:bCs/>
          <w:color w:val="auto"/>
          <w:sz w:val="44"/>
          <w:szCs w:val="44"/>
          <w:lang w:eastAsia="zh-CN"/>
        </w:rPr>
        <w:t>用</w:t>
      </w:r>
      <w:r>
        <w:rPr>
          <w:rFonts w:ascii="Times New Roman" w:eastAsia="方正小标宋简体"/>
          <w:bCs/>
          <w:color w:val="auto"/>
          <w:sz w:val="44"/>
          <w:szCs w:val="44"/>
        </w:rPr>
        <w:t>权拍卖出让须知</w:t>
      </w:r>
    </w:p>
    <w:p>
      <w:pPr>
        <w:spacing w:line="520" w:lineRule="exact"/>
        <w:ind w:firstLine="642"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lang w:eastAsia="zh-CN"/>
        </w:rPr>
        <w:t>洛2023-6号等2宗地块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rPr>
        <w:t>4</w:t>
      </w:r>
      <w:r>
        <w:rPr>
          <w:rFonts w:ascii="Times New Roman" w:eastAsia="仿宋"/>
          <w:color w:val="auto"/>
          <w:sz w:val="30"/>
          <w:szCs w:val="30"/>
        </w:rPr>
        <w:t>年</w:t>
      </w:r>
      <w:r>
        <w:rPr>
          <w:rFonts w:hint="default" w:ascii="Times New Roman" w:eastAsia="仿宋"/>
          <w:color w:val="auto"/>
          <w:sz w:val="30"/>
          <w:szCs w:val="30"/>
          <w:lang w:val="en" w:eastAsia="zh-CN"/>
        </w:rPr>
        <w:t>10</w:t>
      </w:r>
      <w:r>
        <w:rPr>
          <w:rFonts w:ascii="Times New Roman" w:eastAsia="仿宋"/>
          <w:color w:val="auto"/>
          <w:sz w:val="30"/>
          <w:szCs w:val="30"/>
        </w:rPr>
        <w:t>月</w:t>
      </w:r>
      <w:r>
        <w:rPr>
          <w:rFonts w:hint="default" w:ascii="Times New Roman" w:eastAsia="仿宋"/>
          <w:color w:val="auto"/>
          <w:sz w:val="30"/>
          <w:szCs w:val="30"/>
          <w:lang w:val="en" w:eastAsia="zh-CN"/>
        </w:rPr>
        <w:t>1</w:t>
      </w:r>
      <w:r>
        <w:rPr>
          <w:rFonts w:hint="eastAsia" w:ascii="Times New Roman" w:eastAsia="仿宋"/>
          <w:color w:val="auto"/>
          <w:sz w:val="30"/>
          <w:szCs w:val="30"/>
          <w:lang w:val="en-US" w:eastAsia="zh-CN"/>
        </w:rPr>
        <w:t>6</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w:t>
      </w:r>
      <w:r>
        <w:rPr>
          <w:rFonts w:ascii="Times New Roman" w:eastAsia="仿宋"/>
          <w:color w:val="auto"/>
          <w:szCs w:val="32"/>
        </w:rPr>
        <w:t>本次国有建设用地使用权</w:t>
      </w:r>
      <w:r>
        <w:rPr>
          <w:rFonts w:hint="eastAsia" w:ascii="Times New Roman" w:eastAsia="仿宋"/>
          <w:color w:val="auto"/>
          <w:szCs w:val="32"/>
        </w:rPr>
        <w:t>采用</w:t>
      </w:r>
      <w:r>
        <w:rPr>
          <w:rFonts w:ascii="Times New Roman" w:eastAsia="仿宋"/>
          <w:color w:val="auto"/>
          <w:szCs w:val="32"/>
        </w:rPr>
        <w:t>拍卖</w:t>
      </w:r>
      <w:r>
        <w:rPr>
          <w:rFonts w:hint="eastAsia" w:ascii="Times New Roman" w:eastAsia="仿宋"/>
          <w:color w:val="auto"/>
          <w:szCs w:val="32"/>
        </w:rPr>
        <w:t>方式</w:t>
      </w:r>
      <w:r>
        <w:rPr>
          <w:rFonts w:ascii="Times New Roman" w:eastAsia="仿宋"/>
          <w:color w:val="auto"/>
          <w:szCs w:val="32"/>
        </w:rPr>
        <w:t>出让，</w:t>
      </w:r>
      <w:r>
        <w:rPr>
          <w:rFonts w:hint="eastAsia" w:ascii="Times New Roman" w:eastAsia="仿宋"/>
          <w:color w:val="auto"/>
          <w:szCs w:val="32"/>
        </w:rPr>
        <w:t>按照“价高者得”的原则确定竞得人，</w:t>
      </w:r>
      <w:r>
        <w:rPr>
          <w:rFonts w:ascii="Times New Roman" w:eastAsia="仿宋"/>
          <w:color w:val="auto"/>
          <w:szCs w:val="32"/>
        </w:rPr>
        <w:t>不设保留价</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60" w:lineRule="exact"/>
        <w:ind w:firstLine="642" w:firstLineChars="200"/>
        <w:rPr>
          <w:rFonts w:hint="eastAsia" w:eastAsia="仿宋_GB2312"/>
          <w:color w:val="auto"/>
          <w:sz w:val="32"/>
          <w:szCs w:val="32"/>
        </w:rPr>
      </w:pPr>
      <w:r>
        <w:rPr>
          <w:rFonts w:hint="eastAsia" w:eastAsia="楷体_GB2312"/>
          <w:b/>
          <w:color w:val="auto"/>
          <w:sz w:val="32"/>
          <w:szCs w:val="32"/>
          <w:lang w:val="en-US" w:eastAsia="zh-CN"/>
        </w:rPr>
        <w:t>1.</w:t>
      </w:r>
      <w:r>
        <w:rPr>
          <w:rFonts w:hint="eastAsia" w:ascii="楷体_GB2312" w:hAnsi="楷体_GB2312" w:eastAsia="楷体_GB2312" w:cs="楷体_GB2312"/>
          <w:b/>
          <w:color w:val="auto"/>
          <w:sz w:val="32"/>
          <w:szCs w:val="32"/>
          <w:lang w:eastAsia="zh-CN"/>
        </w:rPr>
        <w:t>洛</w:t>
      </w:r>
      <w:r>
        <w:rPr>
          <w:rFonts w:hint="eastAsia" w:ascii="楷体_GB2312" w:hAnsi="楷体_GB2312" w:eastAsia="楷体_GB2312" w:cs="楷体_GB2312"/>
          <w:b/>
          <w:color w:val="auto"/>
          <w:sz w:val="32"/>
          <w:szCs w:val="32"/>
          <w:lang w:val="en-US" w:eastAsia="zh-CN"/>
        </w:rPr>
        <w:t>2023-6号地块</w:t>
      </w:r>
      <w:r>
        <w:rPr>
          <w:rFonts w:hint="eastAsia" w:ascii="楷体_GB2312" w:hAnsi="楷体_GB2312" w:eastAsia="楷体_GB2312" w:cs="楷体_GB2312"/>
          <w:b/>
          <w:color w:val="auto"/>
          <w:sz w:val="32"/>
          <w:szCs w:val="32"/>
        </w:rPr>
        <w:t>。</w:t>
      </w:r>
      <w:r>
        <w:rPr>
          <w:rFonts w:hint="eastAsia" w:ascii="仿宋_GB2312" w:hAnsi="仿宋_GB2312" w:eastAsia="仿宋_GB2312" w:cs="仿宋_GB2312"/>
          <w:color w:val="auto"/>
          <w:sz w:val="32"/>
          <w:szCs w:val="32"/>
        </w:rPr>
        <w:t>该宗地即</w:t>
      </w:r>
      <w:r>
        <w:rPr>
          <w:rFonts w:hint="eastAsia" w:ascii="仿宋_GB2312" w:hAnsi="仿宋_GB2312" w:eastAsia="仿宋_GB2312" w:cs="仿宋_GB2312"/>
          <w:color w:val="auto"/>
          <w:sz w:val="32"/>
          <w:szCs w:val="32"/>
          <w:lang w:val="en-US" w:eastAsia="zh-CN"/>
        </w:rPr>
        <w:t>2024-L03</w:t>
      </w:r>
      <w:r>
        <w:rPr>
          <w:rFonts w:hint="eastAsia" w:ascii="仿宋_GB2312" w:hAnsi="仿宋_GB2312" w:eastAsia="仿宋_GB2312" w:cs="仿宋_GB2312"/>
          <w:color w:val="auto"/>
          <w:sz w:val="32"/>
          <w:szCs w:val="32"/>
        </w:rPr>
        <w:t>号储备用</w:t>
      </w:r>
      <w:r>
        <w:rPr>
          <w:rFonts w:hint="eastAsia" w:ascii="仿宋_GB2312" w:hAnsi="仿宋_GB2312" w:eastAsia="仿宋_GB2312" w:cs="仿宋_GB2312"/>
          <w:color w:val="auto"/>
          <w:sz w:val="32"/>
          <w:szCs w:val="32"/>
          <w:lang w:val="en-US" w:eastAsia="zh-CN"/>
        </w:rPr>
        <w:t>地，位于洛江区阳江新城，西至纵三路、东至纵二路、北至滨江路，南至排洪渠，</w:t>
      </w:r>
      <w:r>
        <w:rPr>
          <w:rFonts w:hint="eastAsia" w:ascii="仿宋_GB2312" w:hAnsi="仿宋_GB2312" w:eastAsia="仿宋_GB2312" w:cs="仿宋_GB2312"/>
          <w:color w:val="auto"/>
          <w:sz w:val="32"/>
          <w:szCs w:val="32"/>
        </w:rPr>
        <w:t>土地面积</w:t>
      </w:r>
      <w:r>
        <w:rPr>
          <w:rFonts w:hint="eastAsia" w:ascii="仿宋_GB2312" w:hAnsi="仿宋_GB2312" w:eastAsia="仿宋_GB2312" w:cs="仿宋_GB2312"/>
          <w:color w:val="auto"/>
          <w:sz w:val="32"/>
          <w:szCs w:val="32"/>
          <w:lang w:val="en-US" w:eastAsia="zh-CN"/>
        </w:rPr>
        <w:t>30934</w:t>
      </w:r>
      <w:r>
        <w:rPr>
          <w:rFonts w:hint="eastAsia" w:ascii="仿宋_GB2312" w:hAnsi="仿宋_GB2312" w:eastAsia="仿宋_GB2312" w:cs="仿宋_GB2312"/>
          <w:color w:val="auto"/>
          <w:sz w:val="32"/>
          <w:szCs w:val="32"/>
          <w:lang w:val="zh-CN"/>
        </w:rPr>
        <w:t>平方米（约合</w:t>
      </w:r>
      <w:r>
        <w:rPr>
          <w:rFonts w:hint="eastAsia" w:ascii="仿宋_GB2312" w:hAnsi="仿宋_GB2312" w:eastAsia="仿宋_GB2312" w:cs="仿宋_GB2312"/>
          <w:color w:val="auto"/>
          <w:sz w:val="32"/>
          <w:szCs w:val="32"/>
          <w:lang w:val="en-US" w:eastAsia="zh-CN"/>
        </w:rPr>
        <w:t>46.4</w:t>
      </w:r>
      <w:r>
        <w:rPr>
          <w:rFonts w:hint="eastAsia" w:ascii="仿宋_GB2312" w:hAnsi="仿宋_GB2312" w:eastAsia="仿宋_GB2312" w:cs="仿宋_GB2312"/>
          <w:color w:val="auto"/>
          <w:sz w:val="32"/>
          <w:szCs w:val="32"/>
          <w:lang w:val="zh-CN"/>
        </w:rPr>
        <w:t>亩）</w:t>
      </w:r>
      <w:r>
        <w:rPr>
          <w:rFonts w:hint="eastAsia" w:ascii="仿宋_GB2312" w:hAnsi="仿宋_GB2312" w:eastAsia="仿宋_GB2312" w:cs="仿宋_GB2312"/>
          <w:bCs/>
          <w:color w:val="auto"/>
          <w:sz w:val="32"/>
          <w:szCs w:val="32"/>
          <w:lang w:val="zh-CN"/>
        </w:rPr>
        <w:t>。</w:t>
      </w:r>
      <w:r>
        <w:rPr>
          <w:rFonts w:hint="eastAsia" w:ascii="仿宋_GB2312" w:hAnsi="仿宋_GB2312" w:eastAsia="仿宋_GB2312" w:cs="仿宋_GB2312"/>
          <w:color w:val="auto"/>
          <w:sz w:val="32"/>
          <w:szCs w:val="32"/>
        </w:rPr>
        <w:t>规划用途为</w:t>
      </w:r>
      <w:r>
        <w:rPr>
          <w:rFonts w:hint="eastAsia" w:ascii="仿宋_GB2312" w:hAnsi="仿宋_GB2312" w:eastAsia="仿宋_GB2312" w:cs="仿宋_GB2312"/>
          <w:color w:val="auto"/>
          <w:sz w:val="32"/>
          <w:szCs w:val="32"/>
          <w:lang w:eastAsia="zh-CN"/>
        </w:rPr>
        <w:t>二类</w:t>
      </w:r>
      <w:r>
        <w:rPr>
          <w:rFonts w:hint="eastAsia" w:ascii="仿宋_GB2312" w:hAnsi="仿宋_GB2312" w:eastAsia="仿宋_GB2312" w:cs="仿宋_GB2312"/>
          <w:color w:val="auto"/>
          <w:sz w:val="32"/>
          <w:szCs w:val="32"/>
        </w:rPr>
        <w:t>城镇住宅用地</w:t>
      </w:r>
      <w:r>
        <w:rPr>
          <w:rFonts w:hint="eastAsia" w:ascii="仿宋_GB2312" w:hAnsi="仿宋_GB2312" w:eastAsia="仿宋_GB2312" w:cs="仿宋_GB2312"/>
          <w:color w:val="auto"/>
          <w:sz w:val="32"/>
          <w:szCs w:val="32"/>
          <w:lang w:eastAsia="zh-CN"/>
        </w:rPr>
        <w:t>、商业用地</w:t>
      </w:r>
      <w:r>
        <w:rPr>
          <w:rFonts w:hint="eastAsia" w:ascii="仿宋_GB2312" w:hAnsi="仿宋_GB2312" w:eastAsia="仿宋_GB2312" w:cs="仿宋_GB2312"/>
          <w:bCs/>
          <w:color w:val="auto"/>
          <w:sz w:val="32"/>
          <w:szCs w:val="32"/>
          <w:lang w:val="zh-CN"/>
        </w:rPr>
        <w:t>。主要技术指标为：</w:t>
      </w:r>
      <w:r>
        <w:rPr>
          <w:rFonts w:hint="eastAsia" w:ascii="仿宋_GB2312" w:hAnsi="仿宋_GB2312" w:eastAsia="仿宋_GB2312" w:cs="仿宋_GB2312"/>
          <w:color w:val="auto"/>
          <w:sz w:val="32"/>
          <w:szCs w:val="32"/>
        </w:rPr>
        <w:t>容积率2.4以下1.0以上，建筑密度20%以下，绿地率30%以上，建筑高度80米以下。建设内容为住宅及商业配套设施，其中商业设施的计容建筑面积为14800平方米（±200平方米）。</w:t>
      </w:r>
    </w:p>
    <w:p>
      <w:pPr>
        <w:keepNext w:val="0"/>
        <w:keepLines w:val="0"/>
        <w:pageBreakBefore w:val="0"/>
        <w:numPr>
          <w:ilvl w:val="0"/>
          <w:numId w:val="0"/>
        </w:numPr>
        <w:kinsoku/>
        <w:overflowPunct/>
        <w:topLinePunct w:val="0"/>
        <w:autoSpaceDE/>
        <w:autoSpaceDN/>
        <w:bidi w:val="0"/>
        <w:adjustRightInd/>
        <w:snapToGrid/>
        <w:spacing w:line="600" w:lineRule="exact"/>
        <w:ind w:firstLine="642" w:firstLineChars="200"/>
        <w:textAlignment w:val="auto"/>
        <w:rPr>
          <w:rFonts w:hint="eastAsia"/>
          <w:color w:val="auto"/>
          <w:sz w:val="32"/>
          <w:szCs w:val="32"/>
          <w:lang w:eastAsia="zh-CN"/>
        </w:rPr>
      </w:pPr>
      <w:r>
        <w:rPr>
          <w:rFonts w:hint="eastAsia" w:eastAsia="楷体_GB2312"/>
          <w:b/>
          <w:color w:val="auto"/>
          <w:sz w:val="32"/>
          <w:szCs w:val="32"/>
          <w:lang w:val="en-US" w:eastAsia="zh-CN"/>
        </w:rPr>
        <w:t>2.</w:t>
      </w:r>
      <w:r>
        <w:rPr>
          <w:rFonts w:hint="eastAsia" w:ascii="楷体_GB2312" w:hAnsi="黑体" w:eastAsia="楷体_GB2312" w:cs="黑体"/>
          <w:b/>
          <w:color w:val="auto"/>
          <w:sz w:val="32"/>
          <w:szCs w:val="32"/>
        </w:rPr>
        <w:t>洛2024-1号地块</w:t>
      </w:r>
      <w:r>
        <w:rPr>
          <w:rFonts w:hint="eastAsia" w:ascii="楷体_GB2312" w:hAnsi="黑体" w:eastAsia="楷体_GB2312" w:cs="黑体"/>
          <w:b/>
          <w:color w:val="auto"/>
          <w:sz w:val="32"/>
          <w:szCs w:val="32"/>
          <w:lang w:eastAsia="zh-CN"/>
        </w:rPr>
        <w:t>。</w:t>
      </w:r>
      <w:r>
        <w:rPr>
          <w:rFonts w:hint="eastAsia" w:ascii="仿宋_GB2312" w:hAnsi="仿宋_GB2312" w:eastAsia="仿宋_GB2312" w:cs="仿宋_GB2312"/>
          <w:color w:val="auto"/>
          <w:sz w:val="32"/>
          <w:szCs w:val="32"/>
        </w:rPr>
        <w:t>该宗地即</w:t>
      </w:r>
      <w:r>
        <w:rPr>
          <w:rFonts w:hint="eastAsia" w:ascii="仿宋_GB2312" w:hAnsi="仿宋_GB2312" w:eastAsia="仿宋_GB2312" w:cs="仿宋_GB2312"/>
          <w:color w:val="auto"/>
          <w:sz w:val="32"/>
          <w:szCs w:val="32"/>
          <w:lang w:val="en-US" w:eastAsia="zh-CN"/>
        </w:rPr>
        <w:t>2024-L01</w:t>
      </w:r>
      <w:r>
        <w:rPr>
          <w:rFonts w:hint="eastAsia" w:ascii="仿宋_GB2312" w:hAnsi="仿宋_GB2312" w:eastAsia="仿宋_GB2312" w:cs="仿宋_GB2312"/>
          <w:color w:val="auto"/>
          <w:sz w:val="32"/>
          <w:szCs w:val="32"/>
        </w:rPr>
        <w:t>号储备用</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位于洛江区河市镇，北至万滨街，东至金狮街，西至排洪渠，南至规划商住用地，用地面积11241平方米（约合16.86亩）。规划用途</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二类城镇住宅用地、商业用地。主要技术指标</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：容积率2.5以下1.0以上，建筑密度25%以下，绿地率30%以上，建筑高度60米以下。建设内容为住宅（保障性租赁住房）及商业配套设施，其中商业设施计容建筑面积为5600平方米（±100平方米）。</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1.上述地块竞买申请人须具有房地产开发资质。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2.洛2023-6号地块竞得人须按有关规范要求配套建设相应的公共配套服务设施，包括：社区管理服务用房、社区医疗服务站、居家养老服务站等设施[具体规划要求详见《泉州市自然资源和规划局关于下达2024-L03号储备用地规划条件的通知》（泉资规〔2024〕175号）]，且上述公共配套服务设施应相对集中布置在交通便利、方便群众使用的地方，与项目主体建筑同时设计、同时建设，否则住建部门不予核发预售证，建成后无偿将产权、使用权移交给政府指定的有权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3.洛2024-1号地块竞得人须按有关规范要求配套建设相应的公共配套服务设施，包括：社区管理服务用房、社区医疗服务站、居家养老服务站等设施[具体规划要求详见《泉州市自然资源和规划局关于下达2024-L01号储备用地规划条件的通知》（泉资规〔2024〕174号）]，且上述公共配套服务设施应相对集中布置在交通便利、方便群众使用的地方，与项目主体建筑同时设计、同时建设，否则住建部门不予核发预售证，建成后无偿将产权、使用权移交给政府指定的有权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4.洛2023-6号地块西南侧为泉州市实验小学洛江第二校区，周边1000米范围内规划有1所区级公办中学。该地块的学区划分在当前洛江区招生政策未改变的情况下为属地“三一致”原则，具体方案需待当年度片区摸底生源数，并结合新建学校投用情况后确定，以当年度洛江区的小学和初中招生政策为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5.洛2023-6号地块商品住宅部分不设最高销售限价，由企业根据市场情况自主定价，销售价格接受主管部门指导、监督。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6.洛2023-6号地块的可销售房源应全部按程序办理预（现）售手续并向社会公开销售。严禁采取“以房抵债”、股东或特定全体垄断房源、办理自有产权等方式逃避公开销售，否则住建部门不予办理合同网签备案，产权登记部门不予办理产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7.洛2023-6号地块的商业部分为可分割销售、可分割转让，且最小分割面积不小于300平方米。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8.洛2024-1号地块不可分割销售、不可分割转让，其中住宅部分建设保障性租赁住房，并统一纳入泉州市住房租赁服务监管平台。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9.洛2024-1号地块采取带设计方案方式出让，建筑主体和室内装修采用装配式，户型、全装修等设计方案报市住建局审核。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10.根据《泉州市人民政府办公室关于加快发展保障性租赁住房的实施意见》（泉政办规〔2022〕4号）要求，洛2024-1号地块户型设计主要以30-45平方米的一房型为主，适当配置45-70平方米二房型和90平方米以内的三房型，其中90平方米以内的三房型套数不超过单个项目套数的20%，以满足单身、家庭、多孩家庭等不同群体的多样化需求。新建保租房应按照《福建省绿色建筑发展条例》要求，按全装修成品住房建设，并具备拎包入住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11.上述地块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退还；若竞买人已签订《国有建设用地使用权出让合同》，则《国有建设用地使用权出让合同》一并解除，已缴纳的土地出让价款不予退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12.上述地块由非泉州市洛江区的法人竞得的，须在泉州市洛江区注册成立新公司，所有税收应在当地缴纳。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13.按照《泉州市人民政府办公室关于印发泉州市2023年促进房地产市场平稳健康发展工作方案的通知》（泉政办〔2023〕11号）要求，上述地块充电桩车位配建比例不低于50%。按照《泉州市住房和城乡建设局等4部门关于规范住宅小区电动汽车充电设施建设管理的通知》（泉建规〔2023〕3号）要求，严格落实新建住宅小区固定车位100%建设充电设施或预留安装条件，预留安装条件时需将管线（含低压电缆、电缆分支箱、计量表箱）和桥架等供电设施建设到车位，以满足直接装表接电需求。按照《泉州市人民政府办公室关于印发泉州市电动自行车安全隐患全链条整治行动实施方案的通知》（泉政办〔2024〕17号）要求，严格新建居住项目规划审批管理，将电动自行车停放充电设施纳入项目配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14.按照《泉州市人民政府关于印发泉州市促进房地产市场持续健康稳定发展若干意见（2018—2025年）的通知》（泉政文〔2018〕87号）要求，上述地块的建筑单体质量要求达到泉州市优质工程及以上。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15.按照《泉州市人民政府办公室转发泉州市住房和城乡建设局 泉州市自然资源和规划局关于加强新建商品住宅及商办类建筑建设管理的通知》（泉政办明传〔2021〕75号）要求，上述地块开发建设应符合《新建商品住宅建设品质提升事项》。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 xml:space="preserve">16.按照《泉州市住房和城乡建设局等三部门关于加快推动新型建筑工业化发展的通知》（泉建规〔2022〕3号）要求，上述地块的装配式建筑应占新建建筑面积40%以上。 </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竞买申请人应当单独申请。</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 w:eastAsia="zh-CN"/>
        </w:rPr>
        <w:t>10月15日</w:t>
      </w:r>
      <w:r>
        <w:rPr>
          <w:rFonts w:ascii="Times New Roman" w:eastAsia="仿宋"/>
          <w:color w:val="auto"/>
          <w:szCs w:val="32"/>
        </w:rPr>
        <w:t>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洛2023-6号地块</w:t>
      </w:r>
      <w:r>
        <w:rPr>
          <w:rFonts w:ascii="Times New Roman" w:eastAsia="仿宋"/>
          <w:color w:val="auto"/>
          <w:szCs w:val="32"/>
        </w:rPr>
        <w:t>的竞买保证金为人民币（大写）</w:t>
      </w:r>
      <w:r>
        <w:rPr>
          <w:rFonts w:hint="eastAsia" w:ascii="Times New Roman" w:eastAsia="仿宋"/>
          <w:color w:val="auto"/>
          <w:szCs w:val="32"/>
          <w:lang w:eastAsia="zh-CN"/>
        </w:rPr>
        <w:t>伍</w:t>
      </w:r>
      <w:r>
        <w:rPr>
          <w:rFonts w:hint="eastAsia" w:ascii="仿宋" w:hAnsi="仿宋" w:eastAsia="仿宋" w:cs="仿宋"/>
          <w:color w:val="auto"/>
          <w:szCs w:val="32"/>
          <w:shd w:val="clear" w:color="auto" w:fill="FFFFFF"/>
          <w:lang w:eastAsia="zh-CN"/>
        </w:rPr>
        <w:t>仟零捌拾万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50,80</w:t>
      </w:r>
      <w:r>
        <w:rPr>
          <w:rFonts w:ascii="Times New Roman" w:eastAsia="仿宋"/>
          <w:color w:val="auto"/>
          <w:szCs w:val="32"/>
        </w:rPr>
        <w:t>0,000.00）</w:t>
      </w:r>
      <w:r>
        <w:rPr>
          <w:rFonts w:hint="eastAsia" w:ascii="Times New Roman" w:eastAsia="仿宋"/>
          <w:color w:val="auto"/>
          <w:szCs w:val="32"/>
        </w:rPr>
        <w:t>。</w:t>
      </w:r>
    </w:p>
    <w:p>
      <w:pPr>
        <w:spacing w:line="520" w:lineRule="exact"/>
        <w:ind w:firstLine="640" w:firstLineChars="200"/>
        <w:rPr>
          <w:rFonts w:hint="eastAsia" w:ascii="Times New Roman" w:eastAsia="仿宋"/>
          <w:color w:val="auto"/>
          <w:szCs w:val="32"/>
          <w:lang w:eastAsia="zh-CN"/>
        </w:rPr>
      </w:pPr>
      <w:r>
        <w:rPr>
          <w:rFonts w:hint="eastAsia" w:ascii="Times New Roman" w:eastAsia="仿宋"/>
          <w:color w:val="auto"/>
          <w:szCs w:val="32"/>
          <w:lang w:eastAsia="zh-CN"/>
        </w:rPr>
        <w:t>洛202</w:t>
      </w:r>
      <w:r>
        <w:rPr>
          <w:rFonts w:hint="eastAsia" w:ascii="Times New Roman" w:eastAsia="仿宋"/>
          <w:color w:val="auto"/>
          <w:szCs w:val="32"/>
          <w:lang w:val="en-US" w:eastAsia="zh-CN"/>
        </w:rPr>
        <w:t>4</w:t>
      </w:r>
      <w:r>
        <w:rPr>
          <w:rFonts w:hint="eastAsia" w:ascii="Times New Roman" w:eastAsia="仿宋"/>
          <w:color w:val="auto"/>
          <w:szCs w:val="32"/>
          <w:lang w:eastAsia="zh-CN"/>
        </w:rPr>
        <w:t>-</w:t>
      </w:r>
      <w:r>
        <w:rPr>
          <w:rFonts w:hint="eastAsia" w:ascii="Times New Roman" w:eastAsia="仿宋"/>
          <w:color w:val="auto"/>
          <w:szCs w:val="32"/>
          <w:lang w:val="en-US" w:eastAsia="zh-CN"/>
        </w:rPr>
        <w:t>1</w:t>
      </w:r>
      <w:r>
        <w:rPr>
          <w:rFonts w:hint="eastAsia" w:ascii="Times New Roman" w:eastAsia="仿宋"/>
          <w:color w:val="auto"/>
          <w:szCs w:val="32"/>
          <w:lang w:eastAsia="zh-CN"/>
        </w:rPr>
        <w:t>号地块</w:t>
      </w:r>
      <w:r>
        <w:rPr>
          <w:rFonts w:ascii="Times New Roman" w:eastAsia="仿宋"/>
          <w:color w:val="auto"/>
          <w:szCs w:val="32"/>
        </w:rPr>
        <w:t>的竞买保证金为人民币（大写）</w:t>
      </w:r>
      <w:r>
        <w:rPr>
          <w:rFonts w:hint="eastAsia" w:ascii="仿宋" w:hAnsi="仿宋" w:eastAsia="仿宋" w:cs="仿宋"/>
          <w:color w:val="auto"/>
          <w:szCs w:val="32"/>
          <w:shd w:val="clear" w:color="auto" w:fill="FFFFFF"/>
          <w:lang w:eastAsia="zh-CN"/>
        </w:rPr>
        <w:t>肆佰捌拾万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4</w:t>
      </w:r>
      <w:r>
        <w:rPr>
          <w:rFonts w:ascii="Times New Roman" w:eastAsia="仿宋"/>
          <w:color w:val="auto"/>
          <w:szCs w:val="32"/>
        </w:rPr>
        <w:t>,</w:t>
      </w:r>
      <w:r>
        <w:rPr>
          <w:rFonts w:hint="eastAsia" w:ascii="Times New Roman" w:eastAsia="仿宋"/>
          <w:color w:val="auto"/>
          <w:szCs w:val="32"/>
          <w:lang w:val="en-US" w:eastAsia="zh-CN"/>
        </w:rPr>
        <w:t>80</w:t>
      </w:r>
      <w:r>
        <w:rPr>
          <w:rFonts w:ascii="Times New Roman" w:eastAsia="仿宋"/>
          <w:color w:val="auto"/>
          <w:szCs w:val="32"/>
        </w:rPr>
        <w:t>0,000.00）</w:t>
      </w:r>
      <w:r>
        <w:rPr>
          <w:rFonts w:hint="eastAsia" w:ascii="Times New Roman" w:eastAsia="仿宋"/>
          <w:color w:val="auto"/>
          <w:szCs w:val="32"/>
          <w:lang w:eastAsia="zh-CN"/>
        </w:rPr>
        <w:t>。</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27</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10月15日</w:t>
      </w:r>
      <w:r>
        <w:rPr>
          <w:rFonts w:ascii="Times New Roman" w:eastAsia="仿宋"/>
          <w:color w:val="auto"/>
          <w:szCs w:val="32"/>
        </w:rPr>
        <w:t>，到泉州市丰泽区海星街100号东海大厦A幢市政务服务中心4楼450室购买索取本次拍卖出让文件，具体包括：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lang w:val="en-US" w:eastAsia="zh-CN"/>
        </w:rPr>
        <w:t>21</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泉州市国有建设用地使用权拍卖出让须知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12</w:t>
      </w:r>
      <w:r>
        <w:rPr>
          <w:rFonts w:hint="eastAsia" w:ascii="Times New Roman" w:eastAsia="仿宋"/>
          <w:color w:val="auto"/>
          <w:szCs w:val="32"/>
        </w:rPr>
        <w:t>.</w:t>
      </w:r>
      <w:r>
        <w:rPr>
          <w:rFonts w:ascii="Times New Roman" w:eastAsia="仿宋"/>
          <w:color w:val="auto"/>
          <w:szCs w:val="32"/>
        </w:rPr>
        <w:t>《住宅用地竞买保证金/成交价款来源情况申报表》</w:t>
      </w:r>
    </w:p>
    <w:p>
      <w:pPr>
        <w:spacing w:line="520" w:lineRule="exact"/>
        <w:ind w:firstLine="640" w:firstLineChars="200"/>
        <w:rPr>
          <w:rFonts w:hint="eastAsia" w:ascii="Times New Roman" w:eastAsia="仿宋"/>
          <w:color w:val="auto"/>
          <w:szCs w:val="32"/>
          <w:lang w:val="en-US" w:eastAsia="zh-CN"/>
        </w:rPr>
      </w:pPr>
      <w:r>
        <w:rPr>
          <w:rFonts w:hint="eastAsia" w:ascii="Times New Roman" w:eastAsia="仿宋"/>
          <w:color w:val="auto"/>
          <w:szCs w:val="32"/>
          <w:lang w:val="en-US" w:eastAsia="zh-CN"/>
        </w:rPr>
        <w:t>13.洛2024-1号地块设计方案</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10月15日</w:t>
      </w:r>
      <w:r>
        <w:rPr>
          <w:rFonts w:ascii="Times New Roman" w:eastAsia="仿宋"/>
          <w:color w:val="auto"/>
          <w:szCs w:val="32"/>
        </w:rPr>
        <w:t>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（6）竞买人委托他人办理的，应提交授权委托书及委托代理人的有效身份证明文件；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2．其他组织申请的，应提交下列文件：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（5）表明该组织负责人身份的有效证明文件；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3．境外申请人申请的，应提交下列文件：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（7）拍卖文件规定需要提交的其他文件。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29</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30</w:t>
      </w:r>
      <w:r>
        <w:rPr>
          <w:rFonts w:ascii="Times New Roman" w:eastAsia="仿宋"/>
          <w:color w:val="auto"/>
          <w:szCs w:val="32"/>
        </w:rPr>
        <w:t>日组织竞买人对拟出让地块进行现场踏勘。需由我局派员陪同实地踏勘的，请提前与我局联系（联系电话：0595－</w:t>
      </w:r>
      <w:r>
        <w:rPr>
          <w:rFonts w:hint="eastAsia" w:ascii="Times New Roman" w:eastAsia="仿宋"/>
          <w:color w:val="auto"/>
          <w:szCs w:val="32"/>
        </w:rPr>
        <w:t>22769012</w:t>
      </w:r>
      <w:r>
        <w:rPr>
          <w:rFonts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洛2023-6号地块</w:t>
      </w:r>
      <w:r>
        <w:rPr>
          <w:rFonts w:ascii="Times New Roman" w:eastAsia="仿宋"/>
          <w:color w:val="auto"/>
          <w:szCs w:val="32"/>
        </w:rPr>
        <w:t>，起叫价为人民币（大写）</w:t>
      </w:r>
      <w:r>
        <w:rPr>
          <w:rFonts w:hint="eastAsia" w:ascii="Times New Roman" w:eastAsia="仿宋"/>
          <w:color w:val="auto"/>
          <w:szCs w:val="32"/>
          <w:lang w:eastAsia="zh-CN"/>
        </w:rPr>
        <w:t>贰亿伍仟肆佰万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254</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壹</w:t>
      </w:r>
      <w:r>
        <w:rPr>
          <w:rFonts w:hint="eastAsia" w:ascii="Times New Roman" w:eastAsia="仿宋"/>
          <w:color w:val="auto"/>
          <w:szCs w:val="32"/>
        </w:rPr>
        <w:t>佰万</w:t>
      </w:r>
      <w:r>
        <w:rPr>
          <w:rFonts w:ascii="Times New Roman" w:eastAsia="仿宋"/>
          <w:color w:val="auto"/>
          <w:szCs w:val="32"/>
        </w:rPr>
        <w:t>元整（￥</w:t>
      </w:r>
      <w:r>
        <w:rPr>
          <w:rFonts w:hint="eastAsia" w:ascii="Times New Roman" w:eastAsia="仿宋"/>
          <w:color w:val="auto"/>
          <w:szCs w:val="32"/>
          <w:lang w:val="en-US" w:eastAsia="zh-CN"/>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1</w:t>
      </w:r>
      <w:r>
        <w:rPr>
          <w:rFonts w:hint="eastAsia" w:ascii="Times New Roman" w:eastAsia="仿宋"/>
          <w:color w:val="auto"/>
          <w:szCs w:val="32"/>
        </w:rPr>
        <w:t>00万元整数倍金额。</w:t>
      </w:r>
    </w:p>
    <w:p>
      <w:pPr>
        <w:spacing w:line="520" w:lineRule="exact"/>
        <w:ind w:firstLine="640" w:firstLineChars="200"/>
        <w:rPr>
          <w:color w:val="auto"/>
        </w:rPr>
      </w:pPr>
      <w:r>
        <w:rPr>
          <w:rFonts w:hint="eastAsia" w:ascii="Times New Roman" w:eastAsia="仿宋"/>
          <w:color w:val="auto"/>
          <w:szCs w:val="32"/>
          <w:lang w:eastAsia="zh-CN"/>
        </w:rPr>
        <w:t>洛2024-1号地块</w:t>
      </w:r>
      <w:r>
        <w:rPr>
          <w:rFonts w:ascii="Times New Roman" w:eastAsia="仿宋"/>
          <w:color w:val="auto"/>
          <w:szCs w:val="32"/>
        </w:rPr>
        <w:t>，起叫价为人民币（大写）</w:t>
      </w:r>
      <w:r>
        <w:rPr>
          <w:rFonts w:hint="eastAsia" w:ascii="Times New Roman" w:eastAsia="仿宋"/>
          <w:color w:val="auto"/>
          <w:szCs w:val="32"/>
          <w:lang w:eastAsia="zh-CN"/>
        </w:rPr>
        <w:t>贰仟肆佰万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24</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伍拾</w:t>
      </w:r>
      <w:r>
        <w:rPr>
          <w:rFonts w:hint="eastAsia" w:ascii="Times New Roman" w:eastAsia="仿宋"/>
          <w:color w:val="auto"/>
          <w:szCs w:val="32"/>
        </w:rPr>
        <w:t>万</w:t>
      </w:r>
      <w:r>
        <w:rPr>
          <w:rFonts w:ascii="Times New Roman" w:eastAsia="仿宋"/>
          <w:color w:val="auto"/>
          <w:szCs w:val="32"/>
        </w:rPr>
        <w:t>元整（￥</w:t>
      </w:r>
      <w:r>
        <w:rPr>
          <w:rFonts w:hint="eastAsia" w:ascii="Times New Roman" w:eastAsia="仿宋"/>
          <w:color w:val="auto"/>
          <w:szCs w:val="32"/>
          <w:lang w:val="en-US" w:eastAsia="zh-CN"/>
        </w:rPr>
        <w:t>5</w:t>
      </w:r>
      <w:r>
        <w:rPr>
          <w:rFonts w:hint="eastAsia" w:ascii="Times New Roman" w:eastAsia="仿宋"/>
          <w:color w:val="auto"/>
          <w:szCs w:val="32"/>
        </w:rPr>
        <w:t>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5</w:t>
      </w:r>
      <w:r>
        <w:rPr>
          <w:rFonts w:hint="eastAsia" w:ascii="Times New Roman" w:eastAsia="仿宋"/>
          <w:color w:val="auto"/>
          <w:szCs w:val="32"/>
        </w:rPr>
        <w:t>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按照价高者得的原则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10</w:t>
      </w:r>
      <w:r>
        <w:rPr>
          <w:rFonts w:ascii="Times New Roman" w:eastAsia="仿宋"/>
          <w:color w:val="auto"/>
          <w:szCs w:val="32"/>
        </w:rPr>
        <w:t>月</w:t>
      </w:r>
      <w:r>
        <w:rPr>
          <w:rFonts w:hint="eastAsia" w:ascii="Times New Roman" w:eastAsia="仿宋"/>
          <w:color w:val="auto"/>
          <w:szCs w:val="32"/>
          <w:lang w:val="en-US" w:eastAsia="zh-CN"/>
        </w:rPr>
        <w:t>16</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60" w:lineRule="exact"/>
        <w:ind w:firstLine="640" w:firstLineChars="200"/>
        <w:rPr>
          <w:rFonts w:ascii="Times New Roman" w:eastAsia="仿宋"/>
          <w:color w:val="auto"/>
          <w:szCs w:val="32"/>
        </w:rPr>
      </w:pPr>
      <w:bookmarkStart w:id="0" w:name="_Hlk25847200"/>
      <w:bookmarkStart w:id="1" w:name="_Hlk26171907"/>
      <w:r>
        <w:rPr>
          <w:rFonts w:hint="eastAsia" w:ascii="Times New Roman" w:eastAsia="仿宋"/>
          <w:color w:val="auto"/>
          <w:szCs w:val="32"/>
        </w:rPr>
        <w:t>上述</w:t>
      </w:r>
      <w:r>
        <w:rPr>
          <w:rFonts w:ascii="Times New Roman" w:eastAsia="仿宋"/>
          <w:color w:val="auto"/>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szCs w:val="32"/>
        </w:rPr>
        <w:t>3</w:t>
      </w:r>
      <w:r>
        <w:rPr>
          <w:rFonts w:ascii="Times New Roman" w:eastAsia="仿宋"/>
          <w:color w:val="auto"/>
          <w:szCs w:val="32"/>
        </w:rPr>
        <w:t>个月内</w:t>
      </w:r>
      <w:r>
        <w:rPr>
          <w:rFonts w:hint="eastAsia" w:ascii="Times New Roman" w:eastAsia="仿宋"/>
          <w:color w:val="auto"/>
          <w:szCs w:val="32"/>
        </w:rPr>
        <w:t>交</w:t>
      </w:r>
      <w:r>
        <w:rPr>
          <w:rFonts w:ascii="Times New Roman" w:eastAsia="仿宋"/>
          <w:color w:val="auto"/>
          <w:szCs w:val="32"/>
        </w:rPr>
        <w:t>清</w:t>
      </w:r>
      <w:r>
        <w:rPr>
          <w:rFonts w:hint="eastAsia" w:ascii="Times New Roman" w:eastAsia="仿宋"/>
          <w:color w:val="auto"/>
          <w:szCs w:val="32"/>
        </w:rPr>
        <w:t>。</w:t>
      </w:r>
    </w:p>
    <w:bookmarkEnd w:id="0"/>
    <w:p>
      <w:pPr>
        <w:spacing w:line="560" w:lineRule="exact"/>
        <w:ind w:firstLine="640" w:firstLineChars="200"/>
        <w:rPr>
          <w:rFonts w:ascii="Times New Roman" w:eastAsia="仿宋"/>
          <w:color w:val="auto"/>
          <w:szCs w:val="32"/>
        </w:rPr>
      </w:pPr>
      <w:r>
        <w:rPr>
          <w:rFonts w:ascii="Times New Roman" w:eastAsia="仿宋"/>
          <w:color w:val="auto"/>
          <w:szCs w:val="32"/>
        </w:rPr>
        <w:t>竞得人应当按时支付成交价款，不能按时支付成交价款的，自违约之日起，每日按迟延支付款项的1‰向出让人缴纳违约金。延期付款超过60日，经出让人催缴后仍未支付成交价款的，出让人有权解除合同并可请求违约赔偿，竞得人无权要求退还定金。</w:t>
      </w:r>
    </w:p>
    <w:bookmarkEnd w:id="1"/>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w:t>
      </w:r>
      <w:r>
        <w:rPr>
          <w:rFonts w:hint="eastAsia" w:ascii="Times New Roman" w:eastAsia="仿宋"/>
          <w:color w:val="auto"/>
          <w:kern w:val="10"/>
          <w:szCs w:val="32"/>
        </w:rPr>
        <w:t>交</w:t>
      </w:r>
      <w:r>
        <w:rPr>
          <w:rFonts w:ascii="Times New Roman" w:eastAsia="仿宋"/>
          <w:color w:val="auto"/>
          <w:kern w:val="10"/>
          <w:szCs w:val="32"/>
        </w:rPr>
        <w:t>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hint="eastAsia" w:ascii="Times New Roman" w:eastAsia="仿宋"/>
          <w:color w:val="auto"/>
          <w:szCs w:val="32"/>
        </w:rPr>
        <w:t>1</w:t>
      </w:r>
      <w:r>
        <w:rPr>
          <w:rFonts w:ascii="Times New Roman" w:eastAsia="仿宋"/>
          <w:color w:val="auto"/>
          <w:szCs w:val="32"/>
        </w:rPr>
        <w:t>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2" w:name="_Hlk85133807"/>
      <w:r>
        <w:rPr>
          <w:rFonts w:ascii="Times New Roman" w:eastAsia="仿宋"/>
          <w:color w:val="auto"/>
          <w:szCs w:val="32"/>
        </w:rPr>
        <w:t>竞买人</w:t>
      </w:r>
      <w:bookmarkEnd w:id="2"/>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3" w:name="OLE_LINK2"/>
      <w:r>
        <w:rPr>
          <w:rFonts w:ascii="Times New Roman" w:eastAsia="仿宋"/>
          <w:color w:val="auto"/>
          <w:szCs w:val="32"/>
        </w:rPr>
        <w:t>．</w:t>
      </w:r>
      <w:bookmarkEnd w:id="3"/>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pStyle w:val="2"/>
        <w:rPr>
          <w:color w:val="auto"/>
        </w:rPr>
      </w:pPr>
    </w:p>
    <w:p>
      <w:pPr>
        <w:spacing w:line="520" w:lineRule="exact"/>
        <w:ind w:right="1440" w:rightChars="450"/>
        <w:jc w:val="right"/>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right"/>
        <w:rPr>
          <w:rFonts w:ascii="Times New Roman" w:eastAsia="仿宋"/>
          <w:color w:val="auto"/>
          <w:szCs w:val="32"/>
        </w:rPr>
      </w:pP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26</w:t>
      </w:r>
      <w:bookmarkStart w:id="4" w:name="_GoBack"/>
      <w:bookmarkEnd w:id="4"/>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8</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5"/>
  <w:drawingGridHorizontalSpacing w:val="160"/>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NmI3ODcwZDQzMDU1ODE4ZWUzZGVkMWJkZmU1MzM2YWEifQ=="/>
  </w:docVars>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0F45"/>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67C42"/>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B6854"/>
    <w:rsid w:val="009C409C"/>
    <w:rsid w:val="009C4DB3"/>
    <w:rsid w:val="009C54AE"/>
    <w:rsid w:val="009D435F"/>
    <w:rsid w:val="009E0DC7"/>
    <w:rsid w:val="009E534C"/>
    <w:rsid w:val="009F129C"/>
    <w:rsid w:val="00A02AA7"/>
    <w:rsid w:val="00A04F8C"/>
    <w:rsid w:val="00A06BDB"/>
    <w:rsid w:val="00A07EAD"/>
    <w:rsid w:val="00A20C13"/>
    <w:rsid w:val="00A3290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3D0075A"/>
    <w:rsid w:val="060058D9"/>
    <w:rsid w:val="076B4F50"/>
    <w:rsid w:val="0A050A0A"/>
    <w:rsid w:val="105D2635"/>
    <w:rsid w:val="10801B04"/>
    <w:rsid w:val="13867A9F"/>
    <w:rsid w:val="14C702EB"/>
    <w:rsid w:val="157435CA"/>
    <w:rsid w:val="15956862"/>
    <w:rsid w:val="17646D55"/>
    <w:rsid w:val="17861AEB"/>
    <w:rsid w:val="185C25B1"/>
    <w:rsid w:val="1AB322F0"/>
    <w:rsid w:val="1C8B11BD"/>
    <w:rsid w:val="1F351FAF"/>
    <w:rsid w:val="1F86792F"/>
    <w:rsid w:val="1FF746DA"/>
    <w:rsid w:val="20772D49"/>
    <w:rsid w:val="20B024A1"/>
    <w:rsid w:val="25205CF8"/>
    <w:rsid w:val="25E129FE"/>
    <w:rsid w:val="29535BBE"/>
    <w:rsid w:val="29A95DCD"/>
    <w:rsid w:val="2BD42381"/>
    <w:rsid w:val="2E9F243D"/>
    <w:rsid w:val="2EE17814"/>
    <w:rsid w:val="2FEF7D77"/>
    <w:rsid w:val="31417311"/>
    <w:rsid w:val="3566232B"/>
    <w:rsid w:val="39DD2AC7"/>
    <w:rsid w:val="3A314ED2"/>
    <w:rsid w:val="3A7D040E"/>
    <w:rsid w:val="3B0E44F4"/>
    <w:rsid w:val="3D15067F"/>
    <w:rsid w:val="3DB14890"/>
    <w:rsid w:val="3E8C3A26"/>
    <w:rsid w:val="3F73645C"/>
    <w:rsid w:val="412A0477"/>
    <w:rsid w:val="42041D48"/>
    <w:rsid w:val="43C75B90"/>
    <w:rsid w:val="45D07A7B"/>
    <w:rsid w:val="45FB48A4"/>
    <w:rsid w:val="48DB5365"/>
    <w:rsid w:val="48E2729B"/>
    <w:rsid w:val="4BDF7549"/>
    <w:rsid w:val="4DF37842"/>
    <w:rsid w:val="4F46621E"/>
    <w:rsid w:val="51EF61F9"/>
    <w:rsid w:val="53417DE8"/>
    <w:rsid w:val="545D6861"/>
    <w:rsid w:val="551E49A7"/>
    <w:rsid w:val="565C1810"/>
    <w:rsid w:val="58805E0B"/>
    <w:rsid w:val="59FFFD36"/>
    <w:rsid w:val="5A100A69"/>
    <w:rsid w:val="5AC66E6D"/>
    <w:rsid w:val="5B797944"/>
    <w:rsid w:val="5C2F2B85"/>
    <w:rsid w:val="5D711BC1"/>
    <w:rsid w:val="5DC00719"/>
    <w:rsid w:val="5E6370DC"/>
    <w:rsid w:val="5E7210B7"/>
    <w:rsid w:val="5EBE1F44"/>
    <w:rsid w:val="5EF61BEE"/>
    <w:rsid w:val="5FFCDEF8"/>
    <w:rsid w:val="61E31F82"/>
    <w:rsid w:val="623173B1"/>
    <w:rsid w:val="627AADA0"/>
    <w:rsid w:val="64B6114A"/>
    <w:rsid w:val="6529C60E"/>
    <w:rsid w:val="654D6D68"/>
    <w:rsid w:val="67835892"/>
    <w:rsid w:val="69287FF9"/>
    <w:rsid w:val="69BA7FBC"/>
    <w:rsid w:val="69EF4473"/>
    <w:rsid w:val="69F5315F"/>
    <w:rsid w:val="6C5E3ED7"/>
    <w:rsid w:val="6D601559"/>
    <w:rsid w:val="6DC95D5B"/>
    <w:rsid w:val="6F4A2587"/>
    <w:rsid w:val="6F565F34"/>
    <w:rsid w:val="6F771613"/>
    <w:rsid w:val="6F817756"/>
    <w:rsid w:val="6FEB25C7"/>
    <w:rsid w:val="706C57A0"/>
    <w:rsid w:val="70856287"/>
    <w:rsid w:val="71CC5BD1"/>
    <w:rsid w:val="73491ACB"/>
    <w:rsid w:val="735B762D"/>
    <w:rsid w:val="75BE6923"/>
    <w:rsid w:val="75DE796D"/>
    <w:rsid w:val="761B3A3C"/>
    <w:rsid w:val="772C6592"/>
    <w:rsid w:val="773F7BAD"/>
    <w:rsid w:val="7790354E"/>
    <w:rsid w:val="7C614DBC"/>
    <w:rsid w:val="7CED3003"/>
    <w:rsid w:val="7CFE5411"/>
    <w:rsid w:val="7DC16531"/>
    <w:rsid w:val="7DFD2408"/>
    <w:rsid w:val="7F7F033B"/>
    <w:rsid w:val="7F993685"/>
    <w:rsid w:val="7FAFEA00"/>
    <w:rsid w:val="B5DF6CE3"/>
    <w:rsid w:val="B6F5B665"/>
    <w:rsid w:val="BD17E3B8"/>
    <w:rsid w:val="D7CBC0B7"/>
    <w:rsid w:val="DE5FE252"/>
    <w:rsid w:val="F33752BE"/>
    <w:rsid w:val="F9ECA45E"/>
    <w:rsid w:val="FBBFE06A"/>
    <w:rsid w:val="FD9FE1A1"/>
    <w:rsid w:val="FED7EB8E"/>
    <w:rsid w:val="FFAFED23"/>
    <w:rsid w:val="FFF715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3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line="500" w:lineRule="exact"/>
    </w:pPr>
    <w:rPr>
      <w:sz w:val="3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unhideWhenUsed/>
    <w:qFormat/>
    <w:uiPriority w:val="0"/>
    <w:pPr>
      <w:spacing w:beforeAutospacing="1" w:afterAutospacing="1"/>
      <w:jc w:val="left"/>
    </w:pPr>
    <w:rPr>
      <w:sz w:val="24"/>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Char"/>
    <w:basedOn w:val="1"/>
    <w:qFormat/>
    <w:uiPriority w:val="0"/>
  </w:style>
  <w:style w:type="paragraph" w:customStyle="1" w:styleId="18">
    <w:name w:val="_Style 3"/>
    <w:basedOn w:val="1"/>
    <w:qFormat/>
    <w:uiPriority w:val="0"/>
  </w:style>
  <w:style w:type="paragraph" w:customStyle="1" w:styleId="19">
    <w:name w:val="Char Char"/>
    <w:basedOn w:val="1"/>
    <w:qFormat/>
    <w:uiPriority w:val="0"/>
    <w:rPr>
      <w:rFonts w:ascii="Times New Roman" w:eastAsia="宋体"/>
      <w:color w:val="auto"/>
      <w:kern w:val="2"/>
      <w:sz w:val="21"/>
      <w:szCs w:val="24"/>
    </w:rPr>
  </w:style>
  <w:style w:type="paragraph" w:customStyle="1" w:styleId="20">
    <w:name w:val="Char Char8"/>
    <w:basedOn w:val="1"/>
    <w:qFormat/>
    <w:uiPriority w:val="0"/>
    <w:rPr>
      <w:rFonts w:ascii="Times New Roman" w:eastAsia="宋体"/>
      <w:color w:val="auto"/>
      <w:kern w:val="2"/>
      <w:sz w:val="21"/>
      <w:szCs w:val="24"/>
    </w:rPr>
  </w:style>
  <w:style w:type="paragraph" w:customStyle="1" w:styleId="21">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dfdf</Company>
  <Pages>15</Pages>
  <Words>1137</Words>
  <Characters>6481</Characters>
  <Lines>54</Lines>
  <Paragraphs>15</Paragraphs>
  <TotalTime>13</TotalTime>
  <ScaleCrop>false</ScaleCrop>
  <LinksUpToDate>false</LinksUpToDate>
  <CharactersWithSpaces>7603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2019-12-12T23:04:00Z</dcterms:created>
  <dc:creator>未羽</dc:creator>
  <cp:lastModifiedBy>市资源规划局</cp:lastModifiedBy>
  <cp:lastPrinted>2021-12-02T07:02:00Z</cp:lastPrinted>
  <dcterms:modified xsi:type="dcterms:W3CDTF">2024-09-25T14:54:33Z</dcterms:modified>
  <dc:title>国有建设用地使用权拍卖出让须知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147DB053FB7B4A7CAC58A0FE60B8BF0F</vt:lpwstr>
  </property>
</Properties>
</file>