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Times New Roman" w:eastAsia="方正小标宋简体"/>
          <w:bCs/>
          <w:color w:val="auto"/>
          <w:sz w:val="44"/>
          <w:szCs w:val="44"/>
        </w:rPr>
      </w:pPr>
      <w:r>
        <w:rPr>
          <w:rFonts w:hint="eastAsia" w:ascii="Times New Roman" w:eastAsia="方正小标宋简体"/>
          <w:bCs/>
          <w:color w:val="auto"/>
          <w:sz w:val="44"/>
          <w:szCs w:val="44"/>
          <w:lang w:val="en-US" w:eastAsia="zh-CN"/>
        </w:rPr>
        <w:t>鲤</w:t>
      </w:r>
      <w:r>
        <w:rPr>
          <w:rFonts w:hint="eastAsia" w:ascii="Times New Roman" w:eastAsia="方正小标宋简体"/>
          <w:bCs/>
          <w:color w:val="auto"/>
          <w:sz w:val="44"/>
          <w:szCs w:val="44"/>
        </w:rPr>
        <w:t>202</w:t>
      </w:r>
      <w:r>
        <w:rPr>
          <w:rFonts w:hint="eastAsia" w:ascii="Times New Roman" w:eastAsia="方正小标宋简体"/>
          <w:bCs/>
          <w:color w:val="auto"/>
          <w:sz w:val="44"/>
          <w:szCs w:val="44"/>
          <w:lang w:val="en-US" w:eastAsia="zh-CN"/>
        </w:rPr>
        <w:t>5</w:t>
      </w:r>
      <w:r>
        <w:rPr>
          <w:rFonts w:hint="eastAsia" w:ascii="Times New Roman" w:eastAsia="方正小标宋简体"/>
          <w:bCs/>
          <w:color w:val="auto"/>
          <w:sz w:val="44"/>
          <w:szCs w:val="44"/>
        </w:rPr>
        <w:t>-</w:t>
      </w:r>
      <w:r>
        <w:rPr>
          <w:rFonts w:hint="eastAsia" w:ascii="Times New Roman" w:eastAsia="方正小标宋简体"/>
          <w:bCs/>
          <w:color w:val="auto"/>
          <w:sz w:val="44"/>
          <w:szCs w:val="44"/>
          <w:lang w:val="en-US" w:eastAsia="zh-CN"/>
        </w:rPr>
        <w:t>1</w:t>
      </w:r>
      <w:r>
        <w:rPr>
          <w:rFonts w:hint="eastAsia" w:ascii="Times New Roman" w:eastAsia="方正小标宋简体"/>
          <w:bCs/>
          <w:color w:val="auto"/>
          <w:sz w:val="44"/>
          <w:szCs w:val="44"/>
        </w:rPr>
        <w:t>号</w:t>
      </w:r>
      <w:r>
        <w:rPr>
          <w:rFonts w:ascii="Times New Roman" w:eastAsia="方正小标宋简体"/>
          <w:bCs/>
          <w:color w:val="auto"/>
          <w:sz w:val="44"/>
          <w:szCs w:val="44"/>
        </w:rPr>
        <w:t>地块国有建设用地使用权</w:t>
      </w:r>
    </w:p>
    <w:p>
      <w:pPr>
        <w:spacing w:line="520" w:lineRule="exact"/>
        <w:jc w:val="center"/>
        <w:rPr>
          <w:rFonts w:ascii="Times New Roman" w:eastAsia="方正小标宋简体"/>
          <w:bCs/>
          <w:color w:val="auto"/>
          <w:sz w:val="44"/>
          <w:szCs w:val="44"/>
        </w:rPr>
      </w:pPr>
      <w:r>
        <w:rPr>
          <w:rFonts w:ascii="Times New Roman" w:eastAsia="方正小标宋简体"/>
          <w:bCs/>
          <w:color w:val="auto"/>
          <w:sz w:val="44"/>
          <w:szCs w:val="44"/>
        </w:rPr>
        <w:t>拍卖出让须知</w:t>
      </w:r>
    </w:p>
    <w:p>
      <w:pPr>
        <w:spacing w:line="520" w:lineRule="exact"/>
        <w:ind w:firstLine="642" w:firstLineChars="200"/>
        <w:rPr>
          <w:rFonts w:ascii="Times New Roman" w:eastAsia="仿宋"/>
          <w:b/>
          <w:color w:val="auto"/>
          <w:szCs w:val="32"/>
        </w:rPr>
      </w:pP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w:t>
      </w:r>
      <w:r>
        <w:rPr>
          <w:rFonts w:hint="eastAsia" w:ascii="仿宋_GB2312" w:hAnsi="仿宋_GB2312" w:eastAsia="仿宋_GB2312" w:cs="仿宋_GB2312"/>
          <w:color w:val="auto"/>
          <w:szCs w:val="32"/>
          <w:lang w:val="en-US" w:eastAsia="zh-CN"/>
        </w:rPr>
        <w:t>鲤2025-</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号地块国有建设用地使用权。</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人的确认。拍卖出让过程委托公证机构进行公证。泉州市产权交易中心有限公司指定的从事拍卖活动的人员为拍卖工作人员。</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二、拍卖出让活动时间、地点</w:t>
      </w:r>
    </w:p>
    <w:p>
      <w:pPr>
        <w:widowControl/>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拍卖时间：202</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年</w:t>
      </w:r>
      <w:r>
        <w:rPr>
          <w:rFonts w:hint="eastAsia" w:hAnsi="仿宋_GB2312" w:cs="仿宋_GB2312"/>
          <w:color w:val="auto"/>
          <w:sz w:val="30"/>
          <w:szCs w:val="30"/>
          <w:lang w:val="en-US" w:eastAsia="zh-CN"/>
        </w:rPr>
        <w:t>6</w:t>
      </w:r>
      <w:r>
        <w:rPr>
          <w:rFonts w:hint="eastAsia" w:ascii="仿宋_GB2312" w:hAnsi="仿宋_GB2312" w:eastAsia="仿宋_GB2312" w:cs="仿宋_GB2312"/>
          <w:color w:val="auto"/>
          <w:sz w:val="30"/>
          <w:szCs w:val="30"/>
        </w:rPr>
        <w:t>月</w:t>
      </w:r>
      <w:r>
        <w:rPr>
          <w:rFonts w:hint="eastAsia" w:hAnsi="仿宋_GB2312" w:cs="仿宋_GB2312"/>
          <w:color w:val="auto"/>
          <w:sz w:val="30"/>
          <w:szCs w:val="30"/>
          <w:lang w:val="en-US" w:eastAsia="zh-CN"/>
        </w:rPr>
        <w:t>25</w:t>
      </w:r>
      <w:r>
        <w:rPr>
          <w:rFonts w:hint="eastAsia" w:ascii="仿宋_GB2312" w:hAnsi="仿宋_GB2312" w:eastAsia="仿宋_GB2312" w:cs="仿宋_GB2312"/>
          <w:color w:val="auto"/>
          <w:sz w:val="30"/>
          <w:szCs w:val="30"/>
        </w:rPr>
        <w:t>日9：00。</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拍卖地点：泉州市政务服务中心（东海大厦）A幢442室（地址：泉州市丰泽区海星街100号）。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三、本次国有建设用地使用权拍卖出让按照价高者得的原则确定竞得人，不设保留价。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四、出让地块的基本情况、规划指标和相关要求：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（一）地块的基本情况</w:t>
      </w:r>
    </w:p>
    <w:p>
      <w:pPr>
        <w:spacing w:line="520" w:lineRule="exact"/>
        <w:ind w:firstLine="642" w:firstLineChars="200"/>
        <w:rPr>
          <w:rFonts w:hint="eastAsia" w:ascii="仿宋_GB2312" w:hAnsi="仿宋_GB2312" w:eastAsia="仿宋_GB2312" w:cs="仿宋_GB2312"/>
          <w:color w:val="auto"/>
          <w:szCs w:val="32"/>
        </w:rPr>
      </w:pPr>
      <w:r>
        <w:rPr>
          <w:rFonts w:hint="eastAsia" w:eastAsia="楷体_GB2312"/>
          <w:b/>
          <w:sz w:val="32"/>
          <w:szCs w:val="32"/>
          <w:lang w:val="en-US" w:eastAsia="zh-CN"/>
        </w:rPr>
        <w:t>鲤2025-1号地块。</w:t>
      </w:r>
      <w:r>
        <w:rPr>
          <w:rFonts w:hint="eastAsia" w:ascii="仿宋" w:hAnsi="仿宋" w:eastAsia="仿宋" w:cs="仿宋"/>
          <w:b w:val="0"/>
          <w:bCs/>
          <w:sz w:val="32"/>
          <w:szCs w:val="32"/>
          <w:lang w:val="en-US" w:eastAsia="zh-CN"/>
        </w:rPr>
        <w:t>该宗地即2023-76号储备用地，</w:t>
      </w:r>
      <w:r>
        <w:rPr>
          <w:rFonts w:hint="eastAsia" w:ascii="仿宋" w:hAnsi="仿宋" w:eastAsia="仿宋" w:cs="仿宋"/>
          <w:color w:val="000000"/>
          <w:kern w:val="0"/>
          <w:sz w:val="31"/>
          <w:szCs w:val="31"/>
          <w:lang w:val="en-US" w:eastAsia="zh-CN" w:bidi="ar"/>
        </w:rPr>
        <w:t>该宗地位于鲤城区浮桥街道坂头，繁荣大道东侧。用地面积为</w:t>
      </w:r>
      <w:r>
        <w:rPr>
          <w:rFonts w:hint="eastAsia" w:ascii="仿宋" w:hAnsi="仿宋" w:eastAsia="仿宋" w:cs="仿宋"/>
          <w:color w:val="auto"/>
          <w:kern w:val="0"/>
          <w:sz w:val="31"/>
          <w:szCs w:val="31"/>
          <w:lang w:val="en-US" w:eastAsia="zh-CN" w:bidi="ar"/>
        </w:rPr>
        <w:t>16476平方米（约合24.71亩）</w:t>
      </w:r>
      <w:r>
        <w:rPr>
          <w:rFonts w:hint="eastAsia" w:ascii="仿宋" w:hAnsi="仿宋" w:eastAsia="仿宋" w:cs="仿宋"/>
          <w:color w:val="000000"/>
          <w:kern w:val="0"/>
          <w:sz w:val="31"/>
          <w:szCs w:val="31"/>
          <w:lang w:val="en-US" w:eastAsia="zh-CN" w:bidi="ar"/>
        </w:rPr>
        <w:t xml:space="preserve">。规划用途：二类城镇住宅用地。主要技术指标：容积率2.6以下1.0以上，建筑密度25%以下，绿地率30%以上，建筑高度80米以下。建设内容为住宅及配套公共服务设施。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eastAsia" w:eastAsia="仿宋_GB2312"/>
          <w:sz w:val="32"/>
          <w:szCs w:val="32"/>
          <w:lang w:val="en-US" w:eastAsia="zh-CN"/>
        </w:rPr>
      </w:pPr>
      <w:r>
        <w:rPr>
          <w:rFonts w:hint="eastAsia" w:ascii="仿宋_GB2312" w:hAnsi="仿宋_GB2312" w:eastAsia="仿宋_GB2312" w:cs="仿宋_GB2312"/>
          <w:color w:val="auto"/>
          <w:szCs w:val="32"/>
        </w:rPr>
        <w:t>（二）规划指标和相关要求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eastAsia="仿宋_GB2312"/>
          <w:sz w:val="32"/>
          <w:szCs w:val="32"/>
        </w:rPr>
      </w:pPr>
      <w:r>
        <w:rPr>
          <w:rFonts w:hint="eastAsia" w:eastAsia="仿宋_GB2312"/>
          <w:sz w:val="32"/>
          <w:szCs w:val="32"/>
          <w:lang w:val="en-US" w:eastAsia="zh-CN"/>
        </w:rPr>
        <w:t>1.鲤</w:t>
      </w:r>
      <w:r>
        <w:rPr>
          <w:rFonts w:hint="eastAsia" w:eastAsia="仿宋_GB2312"/>
          <w:sz w:val="32"/>
          <w:szCs w:val="32"/>
        </w:rPr>
        <w:t>202</w:t>
      </w:r>
      <w:r>
        <w:rPr>
          <w:rFonts w:hint="eastAsia" w:eastAsia="仿宋_GB2312"/>
          <w:sz w:val="32"/>
          <w:szCs w:val="32"/>
          <w:lang w:val="en-US" w:eastAsia="zh-CN"/>
        </w:rPr>
        <w:t>5</w:t>
      </w:r>
      <w:r>
        <w:rPr>
          <w:rFonts w:hint="eastAsia" w:eastAsia="仿宋_GB2312"/>
          <w:sz w:val="32"/>
          <w:szCs w:val="32"/>
        </w:rPr>
        <w:t>-</w:t>
      </w:r>
      <w:r>
        <w:rPr>
          <w:rFonts w:hint="eastAsia" w:eastAsia="仿宋_GB2312"/>
          <w:sz w:val="32"/>
          <w:szCs w:val="32"/>
          <w:lang w:val="en-US" w:eastAsia="zh-CN"/>
        </w:rPr>
        <w:t>1</w:t>
      </w:r>
      <w:r>
        <w:rPr>
          <w:rFonts w:hint="eastAsia" w:eastAsia="仿宋_GB2312"/>
          <w:sz w:val="32"/>
          <w:szCs w:val="32"/>
        </w:rPr>
        <w:t>号</w:t>
      </w:r>
      <w:r>
        <w:rPr>
          <w:rFonts w:eastAsia="仿宋_GB2312"/>
          <w:sz w:val="32"/>
          <w:szCs w:val="32"/>
        </w:rPr>
        <w:t>地块竞买申请人须具有房地产开发资质。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lang w:val="en-US" w:eastAsia="zh-CN"/>
        </w:rPr>
        <w:t>2.鲤</w:t>
      </w:r>
      <w:r>
        <w:rPr>
          <w:rFonts w:hint="eastAsia" w:eastAsia="仿宋_GB2312"/>
          <w:sz w:val="32"/>
          <w:szCs w:val="32"/>
        </w:rPr>
        <w:t>202</w:t>
      </w:r>
      <w:r>
        <w:rPr>
          <w:rFonts w:hint="eastAsia" w:eastAsia="仿宋_GB2312"/>
          <w:sz w:val="32"/>
          <w:szCs w:val="32"/>
          <w:lang w:val="en-US" w:eastAsia="zh-CN"/>
        </w:rPr>
        <w:t>5</w:t>
      </w:r>
      <w:r>
        <w:rPr>
          <w:rFonts w:hint="eastAsia" w:eastAsia="仿宋_GB2312"/>
          <w:sz w:val="32"/>
          <w:szCs w:val="32"/>
        </w:rPr>
        <w:t>-</w:t>
      </w:r>
      <w:r>
        <w:rPr>
          <w:rFonts w:hint="eastAsia" w:eastAsia="仿宋_GB2312"/>
          <w:sz w:val="32"/>
          <w:szCs w:val="32"/>
          <w:lang w:val="en-US" w:eastAsia="zh-CN"/>
        </w:rPr>
        <w:t>1</w:t>
      </w:r>
      <w:r>
        <w:rPr>
          <w:rFonts w:hint="eastAsia" w:eastAsia="仿宋_GB2312"/>
          <w:sz w:val="32"/>
          <w:szCs w:val="32"/>
        </w:rPr>
        <w:t>号</w:t>
      </w:r>
      <w:r>
        <w:rPr>
          <w:rFonts w:eastAsia="仿宋_GB2312"/>
          <w:sz w:val="32"/>
          <w:szCs w:val="32"/>
        </w:rPr>
        <w:t>地块竞得人须按有关规范要求配套建设相应的公共配套服务设施，包括：</w:t>
      </w:r>
      <w:r>
        <w:rPr>
          <w:rFonts w:hint="eastAsia" w:eastAsia="仿宋_GB2312"/>
          <w:sz w:val="32"/>
          <w:szCs w:val="32"/>
        </w:rPr>
        <w:t>社区管理服务用房、社区医疗服务站、居家养老服务站</w:t>
      </w:r>
      <w:r>
        <w:rPr>
          <w:rFonts w:eastAsia="仿宋_GB2312"/>
          <w:sz w:val="32"/>
          <w:szCs w:val="32"/>
        </w:rPr>
        <w:t>等</w:t>
      </w:r>
      <w:r>
        <w:rPr>
          <w:rFonts w:hint="eastAsia" w:eastAsia="仿宋_GB2312"/>
          <w:sz w:val="32"/>
          <w:szCs w:val="32"/>
        </w:rPr>
        <w:t>设施[具体规划要求详见《泉州市自然资源和规划局关于下达</w:t>
      </w:r>
      <w:r>
        <w:rPr>
          <w:rFonts w:hint="eastAsia" w:eastAsia="仿宋_GB2312"/>
          <w:sz w:val="32"/>
          <w:szCs w:val="32"/>
          <w:lang w:val="en-US" w:eastAsia="zh-CN"/>
        </w:rPr>
        <w:t>2023-76号</w:t>
      </w:r>
      <w:r>
        <w:rPr>
          <w:rFonts w:hint="eastAsia" w:eastAsia="仿宋_GB2312"/>
          <w:sz w:val="32"/>
          <w:szCs w:val="32"/>
        </w:rPr>
        <w:t>储备用地规划条件的通知》（泉资规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59</w:t>
      </w:r>
      <w:r>
        <w:rPr>
          <w:rFonts w:hint="eastAsia" w:eastAsia="仿宋_GB2312"/>
          <w:sz w:val="32"/>
          <w:szCs w:val="32"/>
        </w:rPr>
        <w:t>号）]</w:t>
      </w:r>
      <w:r>
        <w:rPr>
          <w:rFonts w:eastAsia="仿宋_GB2312"/>
          <w:sz w:val="32"/>
          <w:szCs w:val="32"/>
        </w:rPr>
        <w:t>，且上述公共配套服务设施应相对集中布置在交通便利、方便群众使用的地方，与项目主体建筑同时设计、</w:t>
      </w:r>
      <w:r>
        <w:rPr>
          <w:rFonts w:hint="eastAsia" w:ascii="仿宋_GB2312" w:hAnsi="仿宋_GB2312" w:eastAsia="仿宋_GB2312" w:cs="仿宋_GB2312"/>
          <w:sz w:val="32"/>
          <w:szCs w:val="32"/>
        </w:rPr>
        <w:t>同时建设，否则住建部门不予核发预售证，</w:t>
      </w:r>
      <w:r>
        <w:rPr>
          <w:rFonts w:eastAsia="仿宋_GB2312"/>
          <w:sz w:val="32"/>
          <w:szCs w:val="32"/>
        </w:rPr>
        <w:t>建成后无偿将产权、使用权移交给政府指定</w:t>
      </w:r>
      <w:r>
        <w:rPr>
          <w:rFonts w:eastAsia="仿宋_GB2312"/>
          <w:spacing w:val="6"/>
          <w:sz w:val="32"/>
          <w:szCs w:val="32"/>
        </w:rPr>
        <w:t>的有权机构</w:t>
      </w:r>
      <w:r>
        <w:rPr>
          <w:rFonts w:eastAsia="仿宋_GB2312"/>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仿宋_GB2312" w:hAnsi="仿宋_GB2312" w:eastAsia="仿宋_GB2312" w:cs="仿宋_GB2312"/>
          <w:sz w:val="32"/>
          <w:szCs w:val="32"/>
          <w:lang w:val="en-US" w:eastAsia="zh-CN"/>
        </w:rPr>
        <w:t>3.鲤</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r>
        <w:rPr>
          <w:rFonts w:hint="eastAsia" w:ascii="仿宋_GB2312" w:hAnsi="仿宋_GB2312" w:eastAsia="仿宋_GB2312" w:cs="仿宋_GB2312"/>
          <w:kern w:val="0"/>
          <w:sz w:val="32"/>
          <w:szCs w:val="32"/>
          <w:lang w:val="en-US" w:eastAsia="zh-CN" w:bidi="ar"/>
        </w:rPr>
        <w:t>地块位于鲤城区浮桥街道坂</w:t>
      </w:r>
      <w:r>
        <w:rPr>
          <w:rFonts w:hint="eastAsia" w:hAnsi="仿宋_GB2312" w:cs="仿宋_GB2312"/>
          <w:kern w:val="0"/>
          <w:sz w:val="32"/>
          <w:szCs w:val="32"/>
          <w:lang w:val="en-US" w:eastAsia="zh-CN" w:bidi="ar"/>
        </w:rPr>
        <w:t>头</w:t>
      </w:r>
      <w:r>
        <w:rPr>
          <w:rFonts w:hint="eastAsia" w:ascii="仿宋_GB2312" w:hAnsi="仿宋_GB2312" w:eastAsia="仿宋_GB2312" w:cs="仿宋_GB2312"/>
          <w:kern w:val="0"/>
          <w:sz w:val="32"/>
          <w:szCs w:val="32"/>
          <w:lang w:val="en-US" w:eastAsia="zh-CN" w:bidi="ar"/>
        </w:rPr>
        <w:t>。地块500米内规划建设有泉州市西隅中心小学（坂头校区）、福师大泉州附中。</w:t>
      </w:r>
      <w:r>
        <w:rPr>
          <w:rFonts w:hint="eastAsia" w:ascii="Times New Roman" w:hAnsi="Times New Roman" w:eastAsia="仿宋" w:cs="Times New Roman"/>
          <w:b w:val="0"/>
          <w:bCs w:val="0"/>
          <w:kern w:val="0"/>
          <w:sz w:val="32"/>
          <w:szCs w:val="32"/>
          <w:lang w:val="en-US" w:eastAsia="zh-CN"/>
        </w:rPr>
        <w:t>该地块的学区划分需待当年度片区摸底生源数，并结合新建学校投用情况后确定，具体以当年度鲤城区的小学和初中招生政策为准。</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eastAsia="仿宋" w:cs="仿宋" w:asciiTheme="majorAscii" w:hAnsiTheme="majorAscii"/>
          <w:color w:val="000000"/>
          <w:kern w:val="0"/>
          <w:sz w:val="32"/>
          <w:szCs w:val="32"/>
          <w:lang w:val="en-US" w:eastAsia="zh-CN" w:bidi="ar"/>
        </w:rPr>
        <w:t>4</w:t>
      </w:r>
      <w:r>
        <w:rPr>
          <w:rFonts w:hint="default" w:eastAsia="仿宋" w:cs="仿宋" w:asciiTheme="majorAscii" w:hAnsiTheme="majorAscii"/>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鲤</w:t>
      </w:r>
      <w:r>
        <w:rPr>
          <w:rFonts w:hint="eastAsia"/>
          <w:color w:val="auto"/>
          <w:sz w:val="32"/>
          <w:szCs w:val="32"/>
          <w:lang w:val="en-US" w:eastAsia="zh-CN"/>
        </w:rPr>
        <w:t>2025-1号</w:t>
      </w:r>
      <w:r>
        <w:rPr>
          <w:rFonts w:hint="eastAsia" w:ascii="仿宋_GB2312" w:hAnsi="仿宋_GB2312" w:eastAsia="仿宋_GB2312" w:cs="仿宋_GB2312"/>
          <w:sz w:val="32"/>
          <w:szCs w:val="32"/>
        </w:rPr>
        <w:t>地块商品住宅部分不设最高销售限价，由企业根据市场情况自主定价，销售价格接受主管部门指导、监督。</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cs="仿宋_GB2312"/>
          <w:spacing w:val="6"/>
          <w:szCs w:val="32"/>
        </w:rPr>
      </w:pPr>
      <w:r>
        <w:rPr>
          <w:rFonts w:hint="eastAsia"/>
          <w:color w:val="auto"/>
          <w:sz w:val="32"/>
          <w:szCs w:val="32"/>
          <w:lang w:val="en-US" w:eastAsia="zh-CN"/>
        </w:rPr>
        <w:t>5</w:t>
      </w:r>
      <w:r>
        <w:rPr>
          <w:rFonts w:hint="eastAsia" w:eastAsia="仿宋_GB2312"/>
          <w:color w:val="auto"/>
          <w:sz w:val="32"/>
          <w:szCs w:val="32"/>
          <w:lang w:val="en-US" w:eastAsia="zh-CN"/>
        </w:rPr>
        <w:t>.</w:t>
      </w:r>
      <w:r>
        <w:rPr>
          <w:rFonts w:hint="eastAsia"/>
          <w:color w:val="auto"/>
          <w:sz w:val="32"/>
          <w:szCs w:val="32"/>
          <w:lang w:val="en-US" w:eastAsia="zh-CN"/>
        </w:rPr>
        <w:t>鲤2025-1号</w:t>
      </w:r>
      <w:r>
        <w:rPr>
          <w:rFonts w:hint="eastAsia" w:ascii="仿宋_GB2312" w:hAnsi="仿宋_GB2312" w:cs="仿宋_GB2312"/>
          <w:szCs w:val="32"/>
        </w:rPr>
        <w:t>地块的可销售房源应全部按程序办理预（现）售手续并向社会公开销售。严禁采取“以房抵债”、</w:t>
      </w:r>
      <w:r>
        <w:rPr>
          <w:rFonts w:hint="eastAsia" w:ascii="仿宋_GB2312" w:hAnsi="仿宋_GB2312" w:cs="仿宋_GB2312"/>
          <w:spacing w:val="6"/>
          <w:szCs w:val="32"/>
        </w:rPr>
        <w:t>股东或特定全体垄断房源、办理自有产权等方式逃避公开销售，否则住建部门不予办理合同网签备案，产权登记部门不予办理产权。</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6"/>
          <w:szCs w:val="32"/>
          <w:lang w:val="en-US" w:eastAsia="zh-CN"/>
        </w:rPr>
      </w:pPr>
      <w:r>
        <w:rPr>
          <w:rFonts w:hint="eastAsia" w:eastAsia="仿宋_GB2312"/>
          <w:color w:val="000000"/>
          <w:sz w:val="32"/>
          <w:szCs w:val="32"/>
          <w:lang w:val="en-US" w:eastAsia="zh-CN"/>
        </w:rPr>
        <w:t>6.</w:t>
      </w:r>
      <w:r>
        <w:rPr>
          <w:rFonts w:hint="eastAsia" w:eastAsia="仿宋_GB2312"/>
          <w:sz w:val="32"/>
          <w:szCs w:val="32"/>
          <w:lang w:val="en-US" w:eastAsia="zh-CN"/>
        </w:rPr>
        <w:t>鲤</w:t>
      </w:r>
      <w:r>
        <w:rPr>
          <w:rFonts w:hint="eastAsia" w:eastAsia="仿宋_GB2312"/>
          <w:sz w:val="32"/>
          <w:szCs w:val="32"/>
        </w:rPr>
        <w:t>202</w:t>
      </w:r>
      <w:r>
        <w:rPr>
          <w:rFonts w:hint="eastAsia" w:eastAsia="仿宋_GB2312"/>
          <w:sz w:val="32"/>
          <w:szCs w:val="32"/>
          <w:lang w:val="en-US" w:eastAsia="zh-CN"/>
        </w:rPr>
        <w:t>5</w:t>
      </w:r>
      <w:r>
        <w:rPr>
          <w:rFonts w:hint="eastAsia" w:eastAsia="仿宋_GB2312"/>
          <w:sz w:val="32"/>
          <w:szCs w:val="32"/>
        </w:rPr>
        <w:t>-</w:t>
      </w:r>
      <w:r>
        <w:rPr>
          <w:rFonts w:hint="eastAsia" w:eastAsia="仿宋_GB2312"/>
          <w:sz w:val="32"/>
          <w:szCs w:val="32"/>
          <w:lang w:val="en-US" w:eastAsia="zh-CN"/>
        </w:rPr>
        <w:t>1</w:t>
      </w:r>
      <w:r>
        <w:rPr>
          <w:rFonts w:hint="eastAsia"/>
          <w:sz w:val="32"/>
          <w:szCs w:val="32"/>
          <w:lang w:val="en-US" w:eastAsia="zh-CN"/>
        </w:rPr>
        <w:t>号</w:t>
      </w:r>
      <w:r>
        <w:rPr>
          <w:rFonts w:hint="eastAsia" w:eastAsia="仿宋_GB2312"/>
          <w:color w:val="000000"/>
          <w:sz w:val="32"/>
          <w:szCs w:val="32"/>
        </w:rPr>
        <w:t>地块在办理商品房预售许可（现售备案）时，优先安排10%的房源套数作为高层次人才房源</w:t>
      </w:r>
      <w:r>
        <w:rPr>
          <w:rFonts w:hint="eastAsia"/>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eastAsia="仿宋_GB2312"/>
          <w:sz w:val="32"/>
          <w:szCs w:val="32"/>
        </w:rPr>
      </w:pPr>
      <w:r>
        <w:rPr>
          <w:rFonts w:hint="eastAsia" w:eastAsia="仿宋_GB2312"/>
          <w:sz w:val="32"/>
          <w:szCs w:val="32"/>
          <w:lang w:val="en-US" w:eastAsia="zh-CN"/>
        </w:rPr>
        <w:t>7</w:t>
      </w:r>
      <w:r>
        <w:rPr>
          <w:rFonts w:hint="eastAsia" w:eastAsia="仿宋_GB2312"/>
          <w:sz w:val="32"/>
          <w:szCs w:val="32"/>
        </w:rPr>
        <w:t>.</w:t>
      </w:r>
      <w:r>
        <w:rPr>
          <w:rFonts w:hint="eastAsia" w:ascii="方正仿宋_GBK" w:hAnsi="方正仿宋_GBK" w:eastAsia="方正仿宋_GBK" w:cs="方正仿宋_GBK"/>
          <w:color w:val="auto"/>
          <w:sz w:val="32"/>
          <w:szCs w:val="32"/>
          <w:lang w:val="en-US" w:eastAsia="zh-CN"/>
        </w:rPr>
        <w:t>鲤</w:t>
      </w:r>
      <w:r>
        <w:rPr>
          <w:rFonts w:hint="eastAsia"/>
          <w:color w:val="auto"/>
          <w:sz w:val="32"/>
          <w:szCs w:val="32"/>
          <w:lang w:val="en-US" w:eastAsia="zh-CN"/>
        </w:rPr>
        <w:t>2025-1</w:t>
      </w:r>
      <w:r>
        <w:rPr>
          <w:rFonts w:hint="eastAsia" w:ascii="方正仿宋_GBK" w:hAnsi="方正仿宋_GBK" w:eastAsia="方正仿宋_GBK" w:cs="方正仿宋_GBK"/>
          <w:color w:val="auto"/>
          <w:sz w:val="32"/>
          <w:szCs w:val="32"/>
          <w:lang w:val="en-US" w:eastAsia="zh-CN"/>
        </w:rPr>
        <w:t>号</w:t>
      </w:r>
      <w:r>
        <w:rPr>
          <w:rFonts w:hint="eastAsia" w:eastAsia="仿宋_GB2312"/>
          <w:sz w:val="32"/>
          <w:szCs w:val="32"/>
        </w:rPr>
        <w:t>地块</w:t>
      </w:r>
      <w:r>
        <w:rPr>
          <w:rFonts w:eastAsia="仿宋_GB2312"/>
          <w:sz w:val="32"/>
          <w:szCs w:val="32"/>
        </w:rPr>
        <w:t>竞买人提交竞买申请书时应同时提交竞买保证金</w:t>
      </w:r>
      <w:r>
        <w:rPr>
          <w:rFonts w:hint="eastAsia" w:eastAsia="仿宋_GB2312"/>
          <w:sz w:val="32"/>
          <w:szCs w:val="32"/>
        </w:rPr>
        <w:t>，</w:t>
      </w:r>
      <w:r>
        <w:rPr>
          <w:rFonts w:eastAsia="仿宋_GB2312"/>
          <w:sz w:val="32"/>
          <w:szCs w:val="32"/>
        </w:rPr>
        <w:t>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成交价款来源情况申报表》，并主动配合出让人及组织方进行资金审查。若竞买人资金来源未通过审查的，同意出让人或组织方取消竞买资格，已交纳的竞买保证金不予</w:t>
      </w:r>
      <w:r>
        <w:rPr>
          <w:rFonts w:hint="eastAsia" w:eastAsia="仿宋_GB2312"/>
          <w:sz w:val="32"/>
          <w:szCs w:val="32"/>
        </w:rPr>
        <w:t>退</w:t>
      </w:r>
      <w:r>
        <w:rPr>
          <w:rFonts w:eastAsia="仿宋_GB2312"/>
          <w:sz w:val="32"/>
          <w:szCs w:val="32"/>
        </w:rPr>
        <w:t>还；若竞买人已签订《国有建设用地使用权出让合同》，则《国有建设用地使用权出让合同》一并解除，已缴纳的土地出让价款不予</w:t>
      </w:r>
      <w:r>
        <w:rPr>
          <w:rFonts w:hint="eastAsia" w:eastAsia="仿宋_GB2312"/>
          <w:sz w:val="32"/>
          <w:szCs w:val="32"/>
        </w:rPr>
        <w:t>退</w:t>
      </w:r>
      <w:r>
        <w:rPr>
          <w:rFonts w:eastAsia="仿宋_GB2312"/>
          <w:sz w:val="32"/>
          <w:szCs w:val="32"/>
        </w:rPr>
        <w:t>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eastAsia" w:eastAsia="仿宋_GB2312"/>
          <w:sz w:val="32"/>
          <w:szCs w:val="32"/>
        </w:rPr>
      </w:pPr>
      <w:r>
        <w:rPr>
          <w:rFonts w:hint="eastAsia" w:eastAsia="仿宋_GB2312"/>
          <w:sz w:val="32"/>
          <w:szCs w:val="32"/>
          <w:lang w:val="en-US" w:eastAsia="zh-CN"/>
        </w:rPr>
        <w:t>8.</w:t>
      </w:r>
      <w:r>
        <w:rPr>
          <w:rFonts w:hint="eastAsia" w:ascii="方正仿宋_GBK" w:hAnsi="方正仿宋_GBK" w:eastAsia="方正仿宋_GBK" w:cs="方正仿宋_GBK"/>
          <w:color w:val="auto"/>
          <w:sz w:val="32"/>
          <w:szCs w:val="32"/>
          <w:lang w:val="en-US" w:eastAsia="zh-CN"/>
        </w:rPr>
        <w:t>鲤</w:t>
      </w:r>
      <w:r>
        <w:rPr>
          <w:rFonts w:hint="eastAsia"/>
          <w:color w:val="auto"/>
          <w:sz w:val="32"/>
          <w:szCs w:val="32"/>
          <w:lang w:val="en-US" w:eastAsia="zh-CN"/>
        </w:rPr>
        <w:t>2025-1</w:t>
      </w:r>
      <w:r>
        <w:rPr>
          <w:rFonts w:hint="eastAsia" w:ascii="方正仿宋_GBK" w:hAnsi="方正仿宋_GBK" w:eastAsia="方正仿宋_GBK" w:cs="方正仿宋_GBK"/>
          <w:color w:val="auto"/>
          <w:sz w:val="32"/>
          <w:szCs w:val="32"/>
          <w:lang w:val="en-US" w:eastAsia="zh-CN"/>
        </w:rPr>
        <w:t>号</w:t>
      </w:r>
      <w:r>
        <w:rPr>
          <w:rFonts w:hint="eastAsia" w:eastAsia="仿宋_GB2312"/>
          <w:sz w:val="32"/>
          <w:szCs w:val="32"/>
        </w:rPr>
        <w:t>地块</w:t>
      </w:r>
      <w:r>
        <w:rPr>
          <w:rFonts w:eastAsia="仿宋_GB2312"/>
          <w:sz w:val="32"/>
          <w:szCs w:val="32"/>
        </w:rPr>
        <w:t>由非泉州市</w:t>
      </w:r>
      <w:r>
        <w:rPr>
          <w:rFonts w:hint="eastAsia" w:eastAsia="仿宋_GB2312"/>
          <w:sz w:val="32"/>
          <w:szCs w:val="32"/>
          <w:lang w:val="en-US" w:eastAsia="zh-CN"/>
        </w:rPr>
        <w:t>鲤城区</w:t>
      </w:r>
      <w:r>
        <w:rPr>
          <w:rFonts w:eastAsia="仿宋_GB2312"/>
          <w:sz w:val="32"/>
          <w:szCs w:val="32"/>
        </w:rPr>
        <w:t>的法人竞得的，须在泉州市</w:t>
      </w:r>
      <w:r>
        <w:rPr>
          <w:rFonts w:hint="eastAsia" w:eastAsia="仿宋_GB2312"/>
          <w:sz w:val="32"/>
          <w:szCs w:val="32"/>
          <w:lang w:val="en-US" w:eastAsia="zh-CN"/>
        </w:rPr>
        <w:t>鲤城区</w:t>
      </w:r>
      <w:r>
        <w:rPr>
          <w:rFonts w:eastAsia="仿宋_GB2312"/>
          <w:sz w:val="32"/>
          <w:szCs w:val="32"/>
        </w:rPr>
        <w:t>注册成立新公司，所有税收应在当地缴纳。</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eastAsia="仿宋_GB2312"/>
          <w:sz w:val="32"/>
          <w:szCs w:val="32"/>
        </w:rPr>
      </w:pPr>
      <w:r>
        <w:rPr>
          <w:rFonts w:hint="eastAsia" w:eastAsia="仿宋_GB2312"/>
          <w:sz w:val="32"/>
          <w:szCs w:val="32"/>
          <w:lang w:val="en-US" w:eastAsia="zh-CN"/>
        </w:rPr>
        <w:t>9</w:t>
      </w:r>
      <w:r>
        <w:rPr>
          <w:rFonts w:hint="eastAsia" w:eastAsia="仿宋_GB2312"/>
          <w:sz w:val="32"/>
          <w:szCs w:val="32"/>
        </w:rPr>
        <w:t>.按照《泉州市人民政府办公室关于印发泉州市2023年促进房地产市场平稳健康发展工作方案的通知》（泉政办</w:t>
      </w:r>
      <w:r>
        <w:rPr>
          <w:rFonts w:eastAsia="仿宋_GB2312"/>
          <w:sz w:val="32"/>
          <w:szCs w:val="32"/>
        </w:rPr>
        <w:t>〔202</w:t>
      </w:r>
      <w:r>
        <w:rPr>
          <w:rFonts w:hint="eastAsia" w:eastAsia="仿宋_GB2312"/>
          <w:sz w:val="32"/>
          <w:szCs w:val="32"/>
        </w:rPr>
        <w:t>3</w:t>
      </w:r>
      <w:r>
        <w:rPr>
          <w:rFonts w:eastAsia="仿宋_GB2312"/>
          <w:sz w:val="32"/>
          <w:szCs w:val="32"/>
        </w:rPr>
        <w:t>〕</w:t>
      </w:r>
      <w:r>
        <w:rPr>
          <w:rFonts w:hint="eastAsia" w:eastAsia="仿宋_GB2312"/>
          <w:sz w:val="32"/>
          <w:szCs w:val="32"/>
        </w:rPr>
        <w:t>11</w:t>
      </w:r>
      <w:r>
        <w:rPr>
          <w:rFonts w:eastAsia="仿宋_GB2312"/>
          <w:sz w:val="32"/>
          <w:szCs w:val="32"/>
        </w:rPr>
        <w:t>号</w:t>
      </w:r>
      <w:r>
        <w:rPr>
          <w:rFonts w:hint="eastAsia" w:eastAsia="仿宋_GB2312"/>
          <w:sz w:val="32"/>
          <w:szCs w:val="32"/>
        </w:rPr>
        <w:t>）要求，上述地块充电桩车位配建比例不低于50%。按照《泉州市住房和城乡建设局等4部门关于规范住宅小区电动汽车充电设施建设管理的通知》（泉建规</w:t>
      </w:r>
      <w:r>
        <w:rPr>
          <w:rFonts w:eastAsia="仿宋_GB2312"/>
          <w:sz w:val="32"/>
          <w:szCs w:val="32"/>
        </w:rPr>
        <w:t>〔202</w:t>
      </w:r>
      <w:r>
        <w:rPr>
          <w:rFonts w:hint="eastAsia" w:eastAsia="仿宋_GB2312"/>
          <w:sz w:val="32"/>
          <w:szCs w:val="32"/>
        </w:rPr>
        <w:t>3</w:t>
      </w:r>
      <w:r>
        <w:rPr>
          <w:rFonts w:eastAsia="仿宋_GB2312"/>
          <w:sz w:val="32"/>
          <w:szCs w:val="32"/>
        </w:rPr>
        <w:t>〕</w:t>
      </w:r>
      <w:r>
        <w:rPr>
          <w:rFonts w:hint="eastAsia" w:eastAsia="仿宋_GB2312"/>
          <w:sz w:val="32"/>
          <w:szCs w:val="32"/>
        </w:rPr>
        <w:t>3</w:t>
      </w:r>
      <w:r>
        <w:rPr>
          <w:rFonts w:eastAsia="仿宋_GB2312"/>
          <w:sz w:val="32"/>
          <w:szCs w:val="32"/>
        </w:rPr>
        <w:t>号</w:t>
      </w:r>
      <w:r>
        <w:rPr>
          <w:rFonts w:hint="eastAsia" w:eastAsia="仿宋_GB2312"/>
          <w:sz w:val="32"/>
          <w:szCs w:val="32"/>
        </w:rPr>
        <w:t>）要求，严格落实新建住宅小区固定车位100%建设充电设施或预留安装条件，预留安装条件时需将管线（含低压电缆、电缆分支箱、计量表箱）和桥架等供电设施建设到车位，以满足直接装表接电需求。</w:t>
      </w:r>
      <w:r>
        <w:rPr>
          <w:rFonts w:hint="eastAsia" w:ascii="Times New Roman" w:hAnsi="Times New Roman" w:eastAsia="仿宋_GB2312" w:cs="Times New Roman"/>
          <w:sz w:val="32"/>
          <w:szCs w:val="32"/>
          <w:lang w:eastAsia="zh-CN"/>
        </w:rPr>
        <w:t>根据《泉州市人民政府办公室关于印发泉州市电动自行车安全隐患全链条整治行动实施方案的通知》</w:t>
      </w:r>
      <w:r>
        <w:rPr>
          <w:rFonts w:hint="eastAsia" w:ascii="Times New Roman" w:hAnsi="Times New Roman" w:eastAsia="仿宋_GB2312" w:cs="Times New Roman"/>
          <w:sz w:val="32"/>
          <w:szCs w:val="32"/>
        </w:rPr>
        <w:t>（泉政办〔202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要求，严格新建居住项目规划审批管理，上述</w:t>
      </w:r>
      <w:r>
        <w:rPr>
          <w:rFonts w:hint="eastAsia" w:ascii="Times New Roman" w:hAnsi="Times New Roman" w:eastAsia="仿宋_GB2312" w:cs="Times New Roman"/>
          <w:sz w:val="32"/>
          <w:szCs w:val="32"/>
        </w:rPr>
        <w:t>地块</w:t>
      </w:r>
      <w:r>
        <w:rPr>
          <w:rFonts w:hint="eastAsia" w:ascii="Times New Roman" w:hAnsi="Times New Roman" w:eastAsia="仿宋_GB2312" w:cs="Times New Roman"/>
          <w:sz w:val="32"/>
          <w:szCs w:val="32"/>
          <w:lang w:eastAsia="zh-CN"/>
        </w:rPr>
        <w:t>应将电动自行车停放充电设施纳入项目配套。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eastAsia="仿宋_GB2312"/>
          <w:sz w:val="32"/>
          <w:szCs w:val="32"/>
        </w:rPr>
      </w:pPr>
      <w:r>
        <w:rPr>
          <w:rFonts w:hint="eastAsia" w:eastAsia="仿宋_GB2312"/>
          <w:sz w:val="32"/>
          <w:szCs w:val="32"/>
          <w:lang w:val="en-US" w:eastAsia="zh-CN"/>
        </w:rPr>
        <w:t>10</w:t>
      </w:r>
      <w:r>
        <w:rPr>
          <w:rFonts w:hint="eastAsia" w:eastAsia="仿宋_GB2312"/>
          <w:sz w:val="32"/>
          <w:szCs w:val="32"/>
        </w:rPr>
        <w:t>.</w:t>
      </w:r>
      <w:r>
        <w:rPr>
          <w:rFonts w:eastAsia="仿宋_GB2312"/>
          <w:sz w:val="32"/>
          <w:szCs w:val="32"/>
        </w:rPr>
        <w:t>按照《泉州市住房和城乡建设局等三部门关于加快推动新型建筑工业化发展的通知》（泉建规〔2022〕3号）要求，上述地块的装配式建筑应占新建建筑面积</w:t>
      </w:r>
      <w:r>
        <w:rPr>
          <w:rFonts w:hint="eastAsia" w:eastAsia="仿宋_GB2312"/>
          <w:sz w:val="32"/>
          <w:szCs w:val="32"/>
        </w:rPr>
        <w:t>40</w:t>
      </w:r>
      <w:r>
        <w:rPr>
          <w:rFonts w:eastAsia="仿宋_GB2312"/>
          <w:sz w:val="32"/>
          <w:szCs w:val="32"/>
        </w:rPr>
        <w:t>%以上。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eastAsia="仿宋_GB2312"/>
          <w:sz w:val="32"/>
          <w:szCs w:val="32"/>
        </w:rPr>
      </w:pPr>
      <w:r>
        <w:rPr>
          <w:rFonts w:hint="eastAsia" w:eastAsia="仿宋_GB2312"/>
          <w:sz w:val="32"/>
          <w:szCs w:val="32"/>
          <w:lang w:val="en-US" w:eastAsia="zh-CN"/>
        </w:rPr>
        <w:t>11</w:t>
      </w:r>
      <w:r>
        <w:rPr>
          <w:rFonts w:hint="eastAsia" w:eastAsia="仿宋_GB2312"/>
          <w:sz w:val="32"/>
          <w:szCs w:val="32"/>
        </w:rPr>
        <w:t>.</w:t>
      </w:r>
      <w:r>
        <w:rPr>
          <w:rFonts w:eastAsia="仿宋_GB2312"/>
          <w:sz w:val="32"/>
          <w:szCs w:val="32"/>
        </w:rPr>
        <w:t>按照《泉州市人民政府关于印发泉州市促进房地产市场持续健康稳定发展若干意见（2018—2025年）的通知》（泉政文〔2018〕87号）要求，上述地块的建筑单体质量要求达到泉州市优质工程及以上。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eastAsia="仿宋_GB2312"/>
          <w:sz w:val="32"/>
          <w:szCs w:val="32"/>
        </w:rPr>
      </w:pPr>
      <w:r>
        <w:rPr>
          <w:rFonts w:hint="eastAsia" w:eastAsia="仿宋_GB2312"/>
          <w:sz w:val="32"/>
          <w:szCs w:val="32"/>
          <w:lang w:val="en-US" w:eastAsia="zh-CN"/>
        </w:rPr>
        <w:t>12</w:t>
      </w:r>
      <w:r>
        <w:rPr>
          <w:rFonts w:hint="eastAsia" w:eastAsia="仿宋_GB2312"/>
          <w:sz w:val="32"/>
          <w:szCs w:val="32"/>
        </w:rPr>
        <w:t>.</w:t>
      </w:r>
      <w:r>
        <w:rPr>
          <w:rFonts w:eastAsia="仿宋_GB2312"/>
          <w:sz w:val="32"/>
          <w:szCs w:val="32"/>
        </w:rPr>
        <w:t>按照《泉州市人民政府办公室转发泉州市住房和城乡建设局</w:t>
      </w:r>
      <w:r>
        <w:rPr>
          <w:rFonts w:hint="eastAsia" w:eastAsia="仿宋_GB2312"/>
          <w:sz w:val="32"/>
          <w:szCs w:val="32"/>
        </w:rPr>
        <w:t xml:space="preserve"> </w:t>
      </w:r>
      <w:r>
        <w:rPr>
          <w:rFonts w:eastAsia="仿宋_GB2312"/>
          <w:sz w:val="32"/>
          <w:szCs w:val="32"/>
        </w:rPr>
        <w:t>泉州市自然资源和规划局关于加强新建商品住宅及商办类建筑建设管理的通知》（泉政办明传〔2021〕75号）要求，上述地块开发建设应符合《新建商品住宅建设品质提升事项》。</w:t>
      </w:r>
    </w:p>
    <w:p>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五、竞买人资格</w:t>
      </w:r>
    </w:p>
    <w:p>
      <w:pPr>
        <w:widowControl/>
        <w:spacing w:line="520" w:lineRule="exact"/>
        <w:ind w:firstLine="640" w:firstLineChars="200"/>
        <w:rPr>
          <w:rFonts w:hint="eastAsia" w:ascii="仿宋_GB2312" w:hAnsi="仿宋_GB2312" w:eastAsia="仿宋_GB2312" w:cs="仿宋_GB2312"/>
          <w:color w:val="auto"/>
          <w:szCs w:val="32"/>
        </w:rPr>
      </w:pPr>
      <w:bookmarkStart w:id="0" w:name="_Hlk25847111"/>
      <w:r>
        <w:rPr>
          <w:rFonts w:hint="eastAsia" w:ascii="仿宋_GB2312" w:hAnsi="仿宋_GB2312" w:eastAsia="仿宋_GB2312" w:cs="仿宋_GB2312"/>
          <w:color w:val="auto"/>
          <w:szCs w:val="32"/>
        </w:rPr>
        <w:t>中华人民共和国境内外的法人和其他组织，符合竞买申请人条件的，除欠缴土地出让金者、已在本市取得合法土地未按规定开发建设者，列入福建省恶意逃废债务失信行为人“黑名单”的企业和自然人、全国法院失信被执行人（包括法人或其他组织）以及法律法规另有规定外，均可申请参加竞买。</w:t>
      </w:r>
      <w:bookmarkEnd w:id="0"/>
      <w:r>
        <w:rPr>
          <w:rFonts w:hint="eastAsia" w:ascii="仿宋_GB2312" w:hAnsi="仿宋_GB2312" w:eastAsia="仿宋_GB2312" w:cs="仿宋_GB2312"/>
          <w:color w:val="auto"/>
          <w:szCs w:val="32"/>
        </w:rPr>
        <w:t>竞买申请人应当单独申请。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交纳竞买保证金的截止时间为202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6</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24</w:t>
      </w:r>
      <w:r>
        <w:rPr>
          <w:rFonts w:hint="eastAsia" w:ascii="仿宋_GB2312" w:hAnsi="仿宋_GB2312" w:eastAsia="仿宋_GB2312" w:cs="仿宋_GB2312"/>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val="en-US" w:eastAsia="zh-CN"/>
        </w:rPr>
        <w:t>鲤2025-</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号地块的竞买保证金为人民币（大写）</w:t>
      </w:r>
      <w:r>
        <w:rPr>
          <w:rFonts w:hint="eastAsia" w:hAnsi="仿宋_GB2312" w:cs="仿宋_GB2312"/>
          <w:color w:val="auto"/>
          <w:szCs w:val="32"/>
          <w:lang w:eastAsia="zh-CN"/>
        </w:rPr>
        <w:t>伍</w:t>
      </w:r>
      <w:r>
        <w:rPr>
          <w:rFonts w:hint="eastAsia" w:ascii="仿宋_GB2312" w:hAnsi="仿宋_GB2312" w:eastAsia="仿宋_GB2312" w:cs="仿宋_GB2312"/>
          <w:color w:val="auto"/>
          <w:szCs w:val="32"/>
        </w:rPr>
        <w:t>仟</w:t>
      </w:r>
      <w:r>
        <w:rPr>
          <w:rFonts w:hint="eastAsia" w:hAnsi="仿宋_GB2312" w:cs="仿宋_GB2312"/>
          <w:color w:val="auto"/>
          <w:szCs w:val="32"/>
          <w:lang w:eastAsia="zh-CN"/>
        </w:rPr>
        <w:t>捌佰</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58</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eastAsia="zh-CN"/>
        </w:rPr>
        <w:t>；</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六、申请和资格审查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（一）拍卖出让文件索取</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竞买人可于202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6</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3</w:t>
      </w:r>
      <w:r>
        <w:rPr>
          <w:rFonts w:hint="eastAsia" w:ascii="仿宋_GB2312" w:hAnsi="仿宋_GB2312" w:eastAsia="仿宋_GB2312" w:cs="仿宋_GB2312"/>
          <w:color w:val="auto"/>
          <w:szCs w:val="32"/>
        </w:rPr>
        <w:t>日至202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6</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24</w:t>
      </w:r>
      <w:r>
        <w:rPr>
          <w:rFonts w:hint="eastAsia" w:ascii="仿宋_GB2312" w:hAnsi="仿宋_GB2312" w:eastAsia="仿宋_GB2312" w:cs="仿宋_GB2312"/>
          <w:color w:val="auto"/>
          <w:szCs w:val="32"/>
        </w:rPr>
        <w:t>日，到泉州市丰泽区海星街100号东海大厦A幢市政务服务中心4楼450室购买索取本次拍卖出让文件，具体包括：</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1.国有建设用地使用权出让公告(泉自然资告字〔202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w:t>
      </w:r>
      <w:r>
        <w:rPr>
          <w:rFonts w:hint="eastAsia" w:hAnsi="仿宋_GB2312" w:cs="仿宋_GB2312"/>
          <w:color w:val="auto"/>
          <w:szCs w:val="32"/>
          <w:lang w:val="en-US" w:eastAsia="zh-CN"/>
        </w:rPr>
        <w:t>6</w:t>
      </w:r>
      <w:r>
        <w:rPr>
          <w:rFonts w:hint="eastAsia" w:ascii="仿宋_GB2312" w:hAnsi="仿宋_GB2312" w:eastAsia="仿宋_GB2312" w:cs="仿宋_GB2312"/>
          <w:color w:val="auto"/>
          <w:szCs w:val="32"/>
        </w:rPr>
        <w:t>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2.国有建设用地使用权拍卖出让须知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3.泉州市自然资源和规划局规划设计条件文件（复印件）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4.竞买申请书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5.竞买承诺书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6.法定代表人身份证明书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7.授权委托书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8.竞买资格确认书（样本）</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9.成交确认书（样本）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10.地块宗地图（复印件）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11.泉州市自然资源和规划局用地红线图（复印件）</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方正仿宋_GBK" w:hAnsi="方正仿宋_GBK" w:eastAsia="方正仿宋_GBK" w:cs="方正仿宋_GBK"/>
          <w:sz w:val="32"/>
          <w:szCs w:val="32"/>
        </w:rPr>
        <w:t>12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《住宅用地竞买保证金、成交价款来源情况申报表》</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（二）提交申请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竞买人应于202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6</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24</w:t>
      </w:r>
      <w:r>
        <w:rPr>
          <w:rFonts w:hint="eastAsia" w:ascii="仿宋_GB2312" w:hAnsi="仿宋_GB2312" w:eastAsia="仿宋_GB2312" w:cs="仿宋_GB2312"/>
          <w:color w:val="auto"/>
          <w:szCs w:val="32"/>
        </w:rPr>
        <w:t>日17时前，到泉州市丰泽区海星街100号东海大厦A幢市政务服务中心4楼450室提交书面申请（不接受邮寄、电子邮件及口头竞买报名），</w:t>
      </w:r>
      <w:r>
        <w:rPr>
          <w:rFonts w:hint="eastAsia" w:ascii="仿宋_GB2312" w:hAnsi="仿宋_GB2312" w:eastAsia="仿宋_GB2312" w:cs="仿宋_GB2312"/>
          <w:b/>
          <w:color w:val="auto"/>
          <w:szCs w:val="32"/>
        </w:rPr>
        <w:t>所有申请文件必须为正本一式二份。</w:t>
      </w:r>
      <w:r>
        <w:rPr>
          <w:rFonts w:hint="eastAsia" w:ascii="仿宋_GB2312" w:hAnsi="仿宋_GB2312" w:eastAsia="仿宋_GB2312" w:cs="仿宋_GB2312"/>
          <w:color w:val="auto"/>
          <w:szCs w:val="32"/>
        </w:rPr>
        <w:t>申请文件包括：</w:t>
      </w:r>
    </w:p>
    <w:p>
      <w:pPr>
        <w:spacing w:line="520" w:lineRule="exact"/>
        <w:ind w:firstLine="640" w:firstLineChars="200"/>
        <w:rPr>
          <w:rFonts w:ascii="Times New Roman" w:eastAsia="仿宋"/>
          <w:color w:val="auto"/>
          <w:szCs w:val="32"/>
        </w:rPr>
      </w:pPr>
      <w:r>
        <w:rPr>
          <w:rFonts w:ascii="Times New Roman" w:eastAsia="仿宋"/>
          <w:color w:val="auto"/>
          <w:szCs w:val="32"/>
        </w:rPr>
        <w:t>1．法人申请的，应提交下列文件：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（4）法人单位有效证明文件；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（6）竞买人委托他人办理的，应提交授权委托书及委托代理人的有效身份证明文件；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（7）竞买保证金交纳凭证；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（8）拍卖文件规定需要提交的其他文件。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2．其他组织申请的，应提交下列文件：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（4）表明该组织合法存在的文件或有效证明；</w:t>
      </w:r>
    </w:p>
    <w:p>
      <w:pPr>
        <w:spacing w:line="520" w:lineRule="exact"/>
        <w:ind w:firstLine="640" w:firstLineChars="200"/>
        <w:rPr>
          <w:rFonts w:ascii="Times New Roman" w:eastAsia="仿宋"/>
          <w:color w:val="auto"/>
          <w:szCs w:val="32"/>
        </w:rPr>
      </w:pPr>
      <w:r>
        <w:rPr>
          <w:rFonts w:ascii="Times New Roman" w:eastAsia="仿宋"/>
          <w:color w:val="auto"/>
          <w:szCs w:val="32"/>
        </w:rPr>
        <w:t>（5）表明该组织负责人身份的有效证明文件；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（6）申请人委托他人办理的，应提交授权委托书及委托代理人的身份证明文件；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（7）竞买保证金交纳凭证；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（8）拍卖文件规定需要提交的其他文件。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3．境外申请人申请的，应提交下列文件：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（4）境外法人、自然人、其他组织的有效身份证明文件；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（5）申请人委托他人办理的，应提交经公证的授权委托书及委托代理人的有效身份证明文件；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（6）竞买保证金交纳凭证；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（7）拍卖文件规定需要提交的其他文件。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上述文件中，申请书必须用中文书写，其他文件可以使用其他语言，但必须附中文译本，所有文件的解释以中文译本为准。</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（三）资格审查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受我局委托，由泉州市产权交易中心有限公司负责对拍卖出让公告规定的时间内收到的申请进行资格审查。竞买人按规定交纳竞买保证金、通过资格审查的，方能取得竞买资格。</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经审查，有下列情形之一的，为无效申请：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1.竞买人不具备竞买资格的；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2.未按规定交纳竞买保证金的；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3.申请文件不齐全或不符合规定的；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4.委托他人代理，委托文件不齐全或不符合规定的；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5.竞买人违反《竞买承诺书》中约定的；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6.法律法规规定的其他情形。</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（四）确认竞买人资格</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经审查，竞买人按规定交纳竞买保证金、具备申请条件的，泉州市产权交易中心有限公司将在报名结束后确认其竞买资格，发给《竞买资格确认书》。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（五）答疑及现场踏勘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竞买人对拍卖出让文件有疑问的，可以在拍卖会开始前以书面或者口头方式向我局咨询。我局于202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6</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5</w:t>
      </w:r>
      <w:r>
        <w:rPr>
          <w:rFonts w:hint="eastAsia" w:ascii="仿宋_GB2312" w:hAnsi="仿宋_GB2312" w:eastAsia="仿宋_GB2312" w:cs="仿宋_GB2312"/>
          <w:color w:val="auto"/>
          <w:szCs w:val="32"/>
        </w:rPr>
        <w:t>日至202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6</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6</w:t>
      </w:r>
      <w:r>
        <w:rPr>
          <w:rFonts w:hint="eastAsia" w:ascii="仿宋_GB2312" w:hAnsi="仿宋_GB2312" w:eastAsia="仿宋_GB2312" w:cs="仿宋_GB2312"/>
          <w:color w:val="auto"/>
          <w:szCs w:val="32"/>
        </w:rPr>
        <w:t>日组织竞买人对拟出让地块进行现场踏勘。需由我局派员陪同实地踏勘的，请提前与我局联系（联系电话：0595－22769</w:t>
      </w:r>
      <w:r>
        <w:rPr>
          <w:rFonts w:hint="eastAsia" w:ascii="仿宋_GB2312" w:hAnsi="仿宋_GB2312" w:eastAsia="仿宋_GB2312" w:cs="仿宋_GB2312"/>
          <w:color w:val="auto"/>
          <w:szCs w:val="32"/>
          <w:lang w:val="en-US" w:eastAsia="zh-CN"/>
        </w:rPr>
        <w:t>01</w:t>
      </w:r>
      <w:r>
        <w:rPr>
          <w:rFonts w:hint="eastAsia" w:ascii="仿宋_GB2312" w:hAnsi="仿宋_GB2312" w:eastAsia="仿宋_GB2312" w:cs="仿宋_GB2312"/>
          <w:color w:val="auto"/>
          <w:szCs w:val="32"/>
        </w:rPr>
        <w:t>2）。</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七、宗地的拍卖起叫价和增价幅度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鲤</w:t>
      </w:r>
      <w:r>
        <w:rPr>
          <w:rFonts w:hint="eastAsia" w:ascii="仿宋_GB2312" w:hAnsi="仿宋_GB2312" w:eastAsia="仿宋_GB2312" w:cs="仿宋_GB2312"/>
          <w:color w:val="auto"/>
          <w:szCs w:val="32"/>
        </w:rPr>
        <w:t>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号地块，起叫价为人民币（大写）</w:t>
      </w:r>
      <w:r>
        <w:rPr>
          <w:rFonts w:hint="eastAsia" w:hAnsi="仿宋_GB2312" w:cs="仿宋_GB2312"/>
          <w:color w:val="auto"/>
          <w:szCs w:val="32"/>
          <w:lang w:eastAsia="zh-CN"/>
        </w:rPr>
        <w:t>贰</w:t>
      </w:r>
      <w:r>
        <w:rPr>
          <w:rFonts w:hint="eastAsia" w:ascii="仿宋_GB2312" w:hAnsi="仿宋_GB2312" w:eastAsia="仿宋_GB2312" w:cs="仿宋_GB2312"/>
          <w:color w:val="auto"/>
          <w:szCs w:val="32"/>
          <w:lang w:eastAsia="zh-CN"/>
        </w:rPr>
        <w:t>亿</w:t>
      </w:r>
      <w:r>
        <w:rPr>
          <w:rFonts w:hint="eastAsia" w:hAnsi="仿宋_GB2312" w:cs="仿宋_GB2312"/>
          <w:color w:val="auto"/>
          <w:szCs w:val="32"/>
          <w:lang w:eastAsia="zh-CN"/>
        </w:rPr>
        <w:t>捌</w:t>
      </w:r>
      <w:r>
        <w:rPr>
          <w:rFonts w:hint="eastAsia" w:ascii="仿宋_GB2312" w:hAnsi="仿宋_GB2312" w:eastAsia="仿宋_GB2312" w:cs="仿宋_GB2312"/>
          <w:color w:val="auto"/>
          <w:szCs w:val="32"/>
        </w:rPr>
        <w:t>仟</w:t>
      </w:r>
      <w:r>
        <w:rPr>
          <w:rFonts w:hint="eastAsia" w:hAnsi="仿宋_GB2312" w:cs="仿宋_GB2312"/>
          <w:color w:val="auto"/>
          <w:szCs w:val="32"/>
          <w:lang w:eastAsia="zh-CN"/>
        </w:rPr>
        <w:t>玖</w:t>
      </w:r>
      <w:r>
        <w:rPr>
          <w:rFonts w:hint="eastAsia" w:ascii="仿宋_GB2312" w:hAnsi="仿宋_GB2312" w:eastAsia="仿宋_GB2312" w:cs="仿宋_GB2312"/>
          <w:color w:val="auto"/>
          <w:szCs w:val="32"/>
          <w:lang w:val="en-US" w:eastAsia="zh-CN"/>
        </w:rPr>
        <w:t>佰</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2</w:t>
      </w:r>
      <w:r>
        <w:rPr>
          <w:rFonts w:hint="eastAsia" w:ascii="仿宋_GB2312" w:hAnsi="仿宋_GB2312" w:eastAsia="仿宋_GB2312" w:cs="仿宋_GB2312"/>
          <w:color w:val="auto"/>
          <w:szCs w:val="32"/>
          <w:lang w:val="en-US" w:eastAsia="zh-CN"/>
        </w:rPr>
        <w:t>8</w:t>
      </w:r>
      <w:r>
        <w:rPr>
          <w:rFonts w:hint="eastAsia" w:hAnsi="仿宋_GB2312" w:cs="仿宋_GB2312"/>
          <w:color w:val="auto"/>
          <w:szCs w:val="32"/>
          <w:lang w:val="en-US" w:eastAsia="zh-CN"/>
        </w:rPr>
        <w:t>9</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），增价幅度为人民币（大写）</w:t>
      </w:r>
      <w:r>
        <w:rPr>
          <w:rFonts w:hint="eastAsia" w:hAnsi="仿宋_GB2312" w:cs="仿宋_GB2312"/>
          <w:color w:val="auto"/>
          <w:szCs w:val="32"/>
          <w:lang w:eastAsia="zh-CN"/>
        </w:rPr>
        <w:t>壹</w:t>
      </w:r>
      <w:r>
        <w:rPr>
          <w:rFonts w:hint="eastAsia" w:ascii="仿宋_GB2312" w:hAnsi="仿宋_GB2312" w:eastAsia="仿宋_GB2312" w:cs="仿宋_GB2312"/>
          <w:color w:val="auto"/>
          <w:szCs w:val="32"/>
        </w:rPr>
        <w:t>佰万元整（</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,000,000.00）或</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00万元整数倍金额。</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八、拍卖程序</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（一）拍卖会程序</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1．拍卖主持人宣布拍卖会开始。</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2．拍卖主持人、记录员、公证员就位。</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3．拍卖主持人点算竞买人。点到竞买号牌号码时，竞买人须举牌示意。拍卖主持人宣布竞买人到场情况。</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4．拍卖主持人介绍拍卖地块的位置、面积、用途、使用年限、规划指标要求、建设时间等。</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5．拍卖主持人宣布拍卖宗地的起叫价、增价规则和增价幅度，并明确提示不设保留价。在拍卖过程中，拍卖主持人可根据现场情况调整增价幅度。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6．拍卖主持人报出起叫价，宣布竞价开始。</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8．拍卖主持人确认该竞买人应价或者报价后继续竞价。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9．拍卖主持人连续三次宣布同一应价或报价而没有人再应价或出价的，拍卖主持人落槌表示拍卖成交，并宣布最高应价者为竞得人。成交结果对竞得人和出让人均具有法律效力。</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（三）出让人与竞得人依据《成交确认书》约定签订《国有建设用地使用权出让合同》。</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（四）出让结果公布</w:t>
      </w:r>
    </w:p>
    <w:p>
      <w:pPr>
        <w:spacing w:line="520" w:lineRule="exact"/>
        <w:ind w:firstLine="640" w:firstLineChars="200"/>
        <w:rPr>
          <w:rFonts w:hint="eastAsia"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我局将在此次国有建设用地使用权拍卖会结束后10个工作日内，在中国土地市场网（www.landchina.com）、泉州自然资源和规划</w:t>
      </w:r>
      <w:r>
        <w:rPr>
          <w:rFonts w:hint="eastAsia" w:ascii="仿宋_GB2312" w:hAnsi="仿宋_GB2312" w:eastAsia="仿宋_GB2312" w:cs="仿宋_GB2312"/>
          <w:color w:val="auto"/>
          <w:kern w:val="10"/>
          <w:szCs w:val="32"/>
        </w:rPr>
        <w:t>信息网（</w:t>
      </w:r>
      <w:r>
        <w:rPr>
          <w:rFonts w:hint="eastAsia" w:ascii="仿宋_GB2312" w:hAnsi="仿宋_GB2312" w:eastAsia="仿宋_GB2312" w:cs="仿宋_GB2312"/>
          <w:color w:val="auto"/>
          <w:szCs w:val="32"/>
        </w:rPr>
        <w:t>zyghj.quanzhou.gov.cn</w:t>
      </w:r>
      <w:r>
        <w:rPr>
          <w:rFonts w:hint="eastAsia" w:ascii="仿宋_GB2312" w:hAnsi="仿宋_GB2312" w:eastAsia="仿宋_GB2312" w:cs="仿宋_GB2312"/>
          <w:color w:val="auto"/>
          <w:kern w:val="10"/>
          <w:szCs w:val="32"/>
        </w:rPr>
        <w:t>）</w:t>
      </w:r>
      <w:r>
        <w:rPr>
          <w:rFonts w:hint="eastAsia" w:ascii="仿宋_GB2312" w:hAnsi="仿宋_GB2312" w:eastAsia="仿宋_GB2312" w:cs="仿宋_GB2312"/>
          <w:color w:val="auto"/>
          <w:szCs w:val="32"/>
        </w:rPr>
        <w:t>公布本次国有建设用地使用权拍卖出让结果。</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九、竞价规则</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（一）不设保留价，按照价高者得的原则确定竞得人。</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（二）竞买人以举牌方式应价，也可以报价，报价的加价幅度不得小于拍卖主持人宣布或调整的增价幅度。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kern w:val="10"/>
          <w:szCs w:val="32"/>
        </w:rPr>
        <w:t>（三）竞买人凭《竞买资格确认书》和法定代表人（自然人、受委托代理人）身份证件领取竞买号牌。</w:t>
      </w:r>
      <w:r>
        <w:rPr>
          <w:rFonts w:hint="eastAsia" w:ascii="仿宋_GB2312" w:hAnsi="仿宋_GB2312" w:eastAsia="仿宋_GB2312" w:cs="仿宋_GB2312"/>
          <w:color w:val="auto"/>
          <w:szCs w:val="32"/>
        </w:rPr>
        <w:t>竞买号牌代表竞买人的资格。</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（四）</w:t>
      </w:r>
      <w:r>
        <w:rPr>
          <w:rFonts w:hint="eastAsia" w:ascii="仿宋_GB2312" w:hAnsi="仿宋_GB2312" w:eastAsia="仿宋_GB2312" w:cs="仿宋_GB2312"/>
          <w:color w:val="auto"/>
          <w:szCs w:val="32"/>
        </w:rPr>
        <w:t>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6</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25</w:t>
      </w:r>
      <w:r>
        <w:rPr>
          <w:rFonts w:hint="eastAsia" w:ascii="仿宋_GB2312" w:hAnsi="仿宋_GB2312" w:eastAsia="仿宋_GB2312" w:cs="仿宋_GB2312"/>
          <w:color w:val="auto"/>
          <w:szCs w:val="32"/>
        </w:rPr>
        <w:t>日9</w:t>
      </w:r>
      <w:r>
        <w:rPr>
          <w:rFonts w:hint="eastAsia" w:ascii="仿宋_GB2312" w:hAnsi="仿宋_GB2312" w:eastAsia="仿宋_GB2312" w:cs="仿宋_GB2312"/>
          <w:color w:val="auto"/>
          <w:kern w:val="10"/>
          <w:szCs w:val="32"/>
        </w:rPr>
        <w:t>:00前，竞买人须领取竞买号牌并进入竞买现场，否则视为放弃竞买资格。</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十、缴款时间、交地时间和交地条件</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（一）缴款时间</w:t>
      </w:r>
    </w:p>
    <w:p>
      <w:pPr>
        <w:spacing w:line="520" w:lineRule="exact"/>
        <w:ind w:firstLine="640" w:firstLineChars="200"/>
        <w:rPr>
          <w:rFonts w:hint="eastAsia" w:ascii="仿宋_GB2312" w:hAnsi="仿宋_GB2312" w:eastAsia="仿宋_GB2312" w:cs="仿宋_GB2312"/>
          <w:color w:val="auto"/>
          <w:kern w:val="10"/>
          <w:szCs w:val="32"/>
          <w:lang w:eastAsia="zh-CN"/>
        </w:rPr>
      </w:pPr>
      <w:r>
        <w:rPr>
          <w:rFonts w:hint="eastAsia" w:ascii="仿宋_GB2312" w:hAnsi="仿宋_GB2312" w:eastAsia="仿宋_GB2312" w:cs="仿宋_GB2312"/>
          <w:color w:val="auto"/>
          <w:kern w:val="10"/>
          <w:szCs w:val="32"/>
          <w:lang w:eastAsia="zh-CN"/>
        </w:rPr>
        <w:t>鲤</w:t>
      </w:r>
      <w:r>
        <w:rPr>
          <w:rFonts w:hint="eastAsia" w:ascii="仿宋_GB2312" w:hAnsi="仿宋_GB2312" w:eastAsia="仿宋_GB2312" w:cs="仿宋_GB2312"/>
          <w:color w:val="auto"/>
          <w:kern w:val="10"/>
          <w:szCs w:val="32"/>
          <w:lang w:val="en-US" w:eastAsia="zh-CN"/>
        </w:rPr>
        <w:t>2025-</w:t>
      </w:r>
      <w:r>
        <w:rPr>
          <w:rFonts w:hint="eastAsia" w:hAnsi="仿宋_GB2312" w:cs="仿宋_GB2312"/>
          <w:color w:val="auto"/>
          <w:kern w:val="10"/>
          <w:szCs w:val="32"/>
          <w:lang w:val="en-US" w:eastAsia="zh-CN"/>
        </w:rPr>
        <w:t>1</w:t>
      </w:r>
      <w:r>
        <w:rPr>
          <w:rFonts w:hint="eastAsia" w:ascii="仿宋_GB2312" w:hAnsi="仿宋_GB2312" w:eastAsia="仿宋_GB2312" w:cs="仿宋_GB2312"/>
          <w:color w:val="auto"/>
          <w:kern w:val="10"/>
          <w:szCs w:val="32"/>
          <w:lang w:val="en-US" w:eastAsia="zh-CN"/>
        </w:rPr>
        <w:t>号</w:t>
      </w:r>
      <w:r>
        <w:rPr>
          <w:rFonts w:hint="eastAsia" w:ascii="仿宋_GB2312" w:hAnsi="仿宋_GB2312" w:eastAsia="仿宋_GB2312" w:cs="仿宋_GB2312"/>
          <w:color w:val="auto"/>
          <w:kern w:val="10"/>
          <w:szCs w:val="32"/>
        </w:rPr>
        <w:t>地块竞得人自竞得之日起30日内应缴交成交价总额50%的成交价款（竞买保证金转作受让地块的定金，抵作土地出让价款）</w:t>
      </w:r>
      <w:r>
        <w:rPr>
          <w:rFonts w:hint="eastAsia" w:ascii="仿宋_GB2312" w:hAnsi="仿宋_GB2312" w:eastAsia="仿宋_GB2312" w:cs="仿宋_GB2312"/>
          <w:color w:val="auto"/>
          <w:kern w:val="10"/>
          <w:szCs w:val="32"/>
          <w:lang w:eastAsia="zh-CN"/>
        </w:rPr>
        <w:t>，</w:t>
      </w:r>
      <w:r>
        <w:rPr>
          <w:rFonts w:hint="eastAsia" w:ascii="仿宋_GB2312" w:hAnsi="仿宋_GB2312" w:eastAsia="仿宋_GB2312" w:cs="仿宋_GB2312"/>
          <w:color w:val="auto"/>
          <w:kern w:val="10"/>
          <w:szCs w:val="32"/>
        </w:rPr>
        <w:t>余款自竞得之日起</w:t>
      </w:r>
      <w:r>
        <w:rPr>
          <w:rFonts w:hint="eastAsia" w:ascii="仿宋_GB2312" w:hAnsi="仿宋_GB2312" w:eastAsia="仿宋_GB2312" w:cs="仿宋_GB2312"/>
          <w:color w:val="auto"/>
          <w:kern w:val="10"/>
          <w:szCs w:val="32"/>
          <w:lang w:val="en-US" w:eastAsia="zh-CN"/>
        </w:rPr>
        <w:t>3</w:t>
      </w:r>
      <w:r>
        <w:rPr>
          <w:rFonts w:hint="eastAsia" w:ascii="仿宋_GB2312" w:hAnsi="仿宋_GB2312" w:eastAsia="仿宋_GB2312" w:cs="仿宋_GB2312"/>
          <w:color w:val="auto"/>
          <w:kern w:val="10"/>
          <w:szCs w:val="32"/>
        </w:rPr>
        <w:t>个月内交清</w:t>
      </w:r>
      <w:r>
        <w:rPr>
          <w:rFonts w:hint="eastAsia" w:ascii="仿宋_GB2312" w:hAnsi="仿宋_GB2312" w:eastAsia="仿宋_GB2312" w:cs="仿宋_GB2312"/>
          <w:color w:val="auto"/>
          <w:kern w:val="10"/>
          <w:szCs w:val="32"/>
          <w:lang w:val="en-US" w:eastAsia="zh-CN"/>
        </w:rPr>
        <w:t>。</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竞得人应当按时支付成交价款，不能按时支付成交价款的，自违约之日起，每日按迟延支付款项的1‰向出让人缴纳违约金。延期付款超过60日，经出让人催缴后仍未支付成交价款的，出让人有权解除合同并可请求违约赔偿，竞得人无权要求退还定金。</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（二）交地时间和交地条件</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十一、开工、竣工时间</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上述地块竞得人应在签订《国有建设用地使用权出让合同》之日起1年内开工，并在开工后</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年内竣工。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竞得人未能按照合同约定日期或同意延建所另行约定日期开工建设或竣工的，每延期</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日，应向出让人支付相当于成交价款总额1‰的违约金。</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竞得人应按照2010年6月28日原泉州市国土资源局在《泉州晚报》上发布的《泉州市国土资源局关于实施房地产用地开发利用情况申报制度的通告》要求进行开工、竣工申报。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竞得人造成土地闲置，按《闲置土地处置办法》有关规定执行。</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十二、注意事项</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（一）竞买人须全面阅读有关拍卖文件，如有疑问可以在拍卖会开始日以前用书面或口头方式向我局咨询。竞买人可到现场踏勘拍卖出让地块。申请一经受理确认后，即视为</w:t>
      </w:r>
      <w:bookmarkStart w:id="1" w:name="_Hlk85133807"/>
      <w:r>
        <w:rPr>
          <w:rFonts w:hint="eastAsia" w:ascii="仿宋_GB2312" w:hAnsi="仿宋_GB2312" w:eastAsia="仿宋_GB2312" w:cs="仿宋_GB2312"/>
          <w:color w:val="auto"/>
          <w:szCs w:val="32"/>
        </w:rPr>
        <w:t>竞买人</w:t>
      </w:r>
      <w:bookmarkEnd w:id="1"/>
      <w:r>
        <w:rPr>
          <w:rFonts w:hint="eastAsia" w:ascii="仿宋_GB2312" w:hAnsi="仿宋_GB2312" w:eastAsia="仿宋_GB2312" w:cs="仿宋_GB2312"/>
          <w:color w:val="auto"/>
          <w:szCs w:val="32"/>
        </w:rPr>
        <w:t>对拍卖文件及地块现状无异议并全部接受，并对有关承诺承担法律责任。</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（三）竞买人一经应价或报价，不可撤回。</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（六）有下列情形之一的，出让人或组织方应当在拍卖会前终止拍卖活动，并通知竞买人：</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1．竞买人串通损害国家利益、社会利益或他人合法权益的；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2．拍卖工作人员私下接触竞买人，足以影响拍卖公正性的；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3．应当依法终止拍卖活动的其他情形。</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（七）竞得人有下列行为之一的，视为违约，出让人或组织方可取消其竞得人资格，竞买保证金不予退还：</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1．竞得人逾期或拒绝签订《成交确认书》的；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w:t>
      </w:r>
      <w:bookmarkStart w:id="2" w:name="OLE_LINK2"/>
      <w:r>
        <w:rPr>
          <w:rFonts w:hint="eastAsia" w:ascii="仿宋_GB2312" w:hAnsi="仿宋_GB2312" w:eastAsia="仿宋_GB2312" w:cs="仿宋_GB2312"/>
          <w:color w:val="auto"/>
          <w:szCs w:val="32"/>
        </w:rPr>
        <w:t>．</w:t>
      </w:r>
      <w:bookmarkEnd w:id="2"/>
      <w:r>
        <w:rPr>
          <w:rFonts w:hint="eastAsia" w:ascii="仿宋_GB2312" w:hAnsi="仿宋_GB2312" w:eastAsia="仿宋_GB2312" w:cs="仿宋_GB2312"/>
          <w:color w:val="auto"/>
          <w:szCs w:val="32"/>
        </w:rPr>
        <w:t>竞得人逾期或拒绝签订《国有建设用地使用权出让合同》的。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3．竞得人开出的银行支票或汇票在有效期内不能兑现或不能全部兑现。</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numPr>
          <w:ilvl w:val="0"/>
          <w:numId w:val="1"/>
        </w:num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2"/>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成交金额</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100万元以下（含100万元）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100-500万元部分（含500万元）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500-1000万元部分（含1000万元）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1000-3000万元部分（含3000万元）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3000-5000万元部分（含5000万元）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5000-10000万元部分（含10000万元）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10000万元以上</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w:t>
            </w:r>
          </w:p>
        </w:tc>
      </w:tr>
    </w:tbl>
    <w:p>
      <w:pPr>
        <w:spacing w:line="52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注：按上述费率分级累进计收，每宗收费金额不足100元的按100元收取。</w:t>
      </w:r>
    </w:p>
    <w:p>
      <w:pPr>
        <w:spacing w:line="52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竞得人须在成交之日起3个工作日内将交易服务费汇到泉州市产权交易中心有限公司指定账号内。</w:t>
      </w:r>
      <w:r>
        <w:rPr>
          <w:rFonts w:hint="eastAsia" w:ascii="仿宋_GB2312" w:hAnsi="仿宋_GB2312" w:eastAsia="仿宋_GB2312" w:cs="仿宋_GB2312"/>
          <w:bCs/>
          <w:color w:val="auto"/>
          <w:szCs w:val="32"/>
        </w:rPr>
        <w:t>交易服务费账户户名</w:t>
      </w:r>
      <w:r>
        <w:rPr>
          <w:rFonts w:hint="eastAsia" w:ascii="仿宋_GB2312" w:hAnsi="仿宋_GB2312" w:eastAsia="仿宋_GB2312" w:cs="仿宋_GB2312"/>
          <w:color w:val="auto"/>
          <w:szCs w:val="32"/>
        </w:rPr>
        <w:t>：泉州市产权交易中心有限公司，兴业银行泉州丰泽支行152690100100090830。</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（十）竞得人付清全部拍卖成交价款后，依法申请办理土地登记，领取《不动产权证》，取得土地使用权。</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（十二）拍卖不成交的，按规定由我局重新组织出让。</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（十三）参加拍卖活动的人员，应遵守现场的纪律，服从管理人员的管理。</w:t>
      </w:r>
    </w:p>
    <w:p>
      <w:pPr>
        <w:spacing w:line="520" w:lineRule="exact"/>
        <w:ind w:firstLine="640" w:firstLineChars="200"/>
        <w:rPr>
          <w:rFonts w:hint="eastAsia"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（十四）</w:t>
      </w:r>
      <w:r>
        <w:rPr>
          <w:rFonts w:hint="eastAsia" w:ascii="仿宋_GB2312" w:hAnsi="仿宋_GB2312" w:eastAsia="仿宋_GB2312" w:cs="仿宋_GB2312"/>
          <w:color w:val="auto"/>
          <w:kern w:val="10"/>
          <w:szCs w:val="32"/>
        </w:rPr>
        <w:t>拍卖工作人员对拍卖出让标的，无论采取任何方式所作的介绍及评论，均作为参考性意见，不构成对拍卖标的任何担保。</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（十五）我局对本《须知》有解释权。未尽事宜依照原国土资源部《招标拍卖挂牌出让国有土地使用权规范（试行）》、《福建省国有土地使用权出让工作规范（试行）》办理。</w:t>
      </w:r>
    </w:p>
    <w:p>
      <w:pPr>
        <w:spacing w:line="520" w:lineRule="exact"/>
        <w:ind w:right="1440" w:rightChars="450"/>
        <w:rPr>
          <w:rFonts w:hint="eastAsia" w:ascii="仿宋_GB2312" w:hAnsi="仿宋_GB2312" w:eastAsia="仿宋_GB2312" w:cs="仿宋_GB2312"/>
          <w:color w:val="auto"/>
          <w:szCs w:val="32"/>
        </w:rPr>
      </w:pPr>
    </w:p>
    <w:p>
      <w:pPr>
        <w:pStyle w:val="2"/>
        <w:rPr>
          <w:rFonts w:hint="eastAsia" w:ascii="仿宋_GB2312" w:hAnsi="仿宋_GB2312" w:eastAsia="仿宋_GB2312" w:cs="仿宋_GB2312"/>
        </w:rPr>
      </w:pPr>
    </w:p>
    <w:p>
      <w:pPr>
        <w:spacing w:line="520" w:lineRule="exact"/>
        <w:ind w:right="1440" w:rightChars="450"/>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泉州市自然资源和规划局</w:t>
      </w:r>
    </w:p>
    <w:p>
      <w:pPr>
        <w:spacing w:line="520" w:lineRule="exact"/>
        <w:ind w:right="1920" w:rightChars="600"/>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5</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31</w:t>
      </w:r>
      <w:bookmarkStart w:id="3" w:name="_GoBack"/>
      <w:bookmarkEnd w:id="3"/>
      <w:r>
        <w:rPr>
          <w:rFonts w:hint="eastAsia" w:ascii="仿宋_GB2312" w:hAnsi="仿宋_GB2312" w:eastAsia="仿宋_GB2312" w:cs="仿宋_GB2312"/>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auto"/>
    <w:pitch w:val="default"/>
    <w:sig w:usb0="00000000" w:usb1="00000000" w:usb2="00000000" w:usb3="00000000" w:csb0="2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12</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E1CE8"/>
    <w:multiLevelType w:val="singleLevel"/>
    <w:tmpl w:val="627E1CE8"/>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5"/>
  <w:drawingGridHorizontalSpacing w:val="160"/>
  <w:drawingGridVerticalSpacing w:val="43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ZTU2N2M0YmZlOTJhYzVjNzZkYzBkOTkxMDVkYzE3YWIifQ=="/>
  </w:docVars>
  <w:rsids>
    <w:rsidRoot w:val="00172A27"/>
    <w:rsid w:val="000016B5"/>
    <w:rsid w:val="00002AE4"/>
    <w:rsid w:val="00003F9E"/>
    <w:rsid w:val="00006DED"/>
    <w:rsid w:val="00007284"/>
    <w:rsid w:val="00012B7E"/>
    <w:rsid w:val="000272F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640EE"/>
    <w:rsid w:val="002641D3"/>
    <w:rsid w:val="00265439"/>
    <w:rsid w:val="002701FA"/>
    <w:rsid w:val="002747E3"/>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D5A27"/>
    <w:rsid w:val="00CE77D0"/>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7CF7"/>
    <w:rsid w:val="022B6D58"/>
    <w:rsid w:val="03D0075A"/>
    <w:rsid w:val="060058D9"/>
    <w:rsid w:val="076B4F50"/>
    <w:rsid w:val="0A050A0A"/>
    <w:rsid w:val="105D2635"/>
    <w:rsid w:val="10801B04"/>
    <w:rsid w:val="13867A9F"/>
    <w:rsid w:val="14C702EB"/>
    <w:rsid w:val="157435CA"/>
    <w:rsid w:val="15956862"/>
    <w:rsid w:val="17646D55"/>
    <w:rsid w:val="17861AEB"/>
    <w:rsid w:val="185C25B1"/>
    <w:rsid w:val="1AB322F0"/>
    <w:rsid w:val="1F351FAF"/>
    <w:rsid w:val="1F86792F"/>
    <w:rsid w:val="1FF746DA"/>
    <w:rsid w:val="20772D49"/>
    <w:rsid w:val="20B024A1"/>
    <w:rsid w:val="25205CF8"/>
    <w:rsid w:val="25E129FE"/>
    <w:rsid w:val="29535BBE"/>
    <w:rsid w:val="2BD42381"/>
    <w:rsid w:val="2E9F243D"/>
    <w:rsid w:val="2EE17814"/>
    <w:rsid w:val="2FEF7D77"/>
    <w:rsid w:val="31417311"/>
    <w:rsid w:val="3566232B"/>
    <w:rsid w:val="39DD2AC7"/>
    <w:rsid w:val="3A314ED2"/>
    <w:rsid w:val="3A7D040E"/>
    <w:rsid w:val="3B0E44F4"/>
    <w:rsid w:val="3B7FC157"/>
    <w:rsid w:val="3D15067F"/>
    <w:rsid w:val="3DB14890"/>
    <w:rsid w:val="3E8C3A26"/>
    <w:rsid w:val="3F5FF36E"/>
    <w:rsid w:val="3F73645C"/>
    <w:rsid w:val="3FB73CFF"/>
    <w:rsid w:val="3FFF14EC"/>
    <w:rsid w:val="412A0477"/>
    <w:rsid w:val="42041D48"/>
    <w:rsid w:val="45D07A7B"/>
    <w:rsid w:val="45FB48A4"/>
    <w:rsid w:val="48DB5365"/>
    <w:rsid w:val="48E2729B"/>
    <w:rsid w:val="4BDF7549"/>
    <w:rsid w:val="4DF37842"/>
    <w:rsid w:val="4F46621E"/>
    <w:rsid w:val="4FEDCE04"/>
    <w:rsid w:val="520F40B5"/>
    <w:rsid w:val="53417DE8"/>
    <w:rsid w:val="545D6861"/>
    <w:rsid w:val="551E49A7"/>
    <w:rsid w:val="565C1810"/>
    <w:rsid w:val="58805E0B"/>
    <w:rsid w:val="59FFFD36"/>
    <w:rsid w:val="5A100A69"/>
    <w:rsid w:val="5AC66E6D"/>
    <w:rsid w:val="5C2F2B85"/>
    <w:rsid w:val="5C99BAAC"/>
    <w:rsid w:val="5CCEE906"/>
    <w:rsid w:val="5D711BC1"/>
    <w:rsid w:val="5DC00719"/>
    <w:rsid w:val="5E6370DC"/>
    <w:rsid w:val="5E7210B7"/>
    <w:rsid w:val="5EBE1F44"/>
    <w:rsid w:val="5EF61BEE"/>
    <w:rsid w:val="5F75A2CF"/>
    <w:rsid w:val="5FFCDEF8"/>
    <w:rsid w:val="5FFE5D64"/>
    <w:rsid w:val="61E31F82"/>
    <w:rsid w:val="623173B1"/>
    <w:rsid w:val="627AADA0"/>
    <w:rsid w:val="64B6114A"/>
    <w:rsid w:val="654D6D68"/>
    <w:rsid w:val="67835892"/>
    <w:rsid w:val="69287FF9"/>
    <w:rsid w:val="69BA7FBC"/>
    <w:rsid w:val="69EF4473"/>
    <w:rsid w:val="69F5315F"/>
    <w:rsid w:val="6C5E3ED7"/>
    <w:rsid w:val="6D601559"/>
    <w:rsid w:val="6DC95D5B"/>
    <w:rsid w:val="6F4A2587"/>
    <w:rsid w:val="6F565F34"/>
    <w:rsid w:val="6F817756"/>
    <w:rsid w:val="6FBBBABD"/>
    <w:rsid w:val="6FEE53D9"/>
    <w:rsid w:val="706C57A0"/>
    <w:rsid w:val="70856287"/>
    <w:rsid w:val="71BFAB18"/>
    <w:rsid w:val="71CC5BD1"/>
    <w:rsid w:val="735B762D"/>
    <w:rsid w:val="73E38C26"/>
    <w:rsid w:val="73FF5AE4"/>
    <w:rsid w:val="75BE6923"/>
    <w:rsid w:val="75DE796D"/>
    <w:rsid w:val="761B3A3C"/>
    <w:rsid w:val="772C6592"/>
    <w:rsid w:val="7BFD8D70"/>
    <w:rsid w:val="7C614DBC"/>
    <w:rsid w:val="7CED3003"/>
    <w:rsid w:val="7CFE5411"/>
    <w:rsid w:val="7DC16531"/>
    <w:rsid w:val="7DFD2408"/>
    <w:rsid w:val="7FAFA16A"/>
    <w:rsid w:val="AFFF219C"/>
    <w:rsid w:val="B6F5B665"/>
    <w:rsid w:val="B7DB20F6"/>
    <w:rsid w:val="BCBFEF2C"/>
    <w:rsid w:val="BD3B2D74"/>
    <w:rsid w:val="BEE466A8"/>
    <w:rsid w:val="BFF9E321"/>
    <w:rsid w:val="C77BCFBB"/>
    <w:rsid w:val="CDDBF24C"/>
    <w:rsid w:val="D7BBABC2"/>
    <w:rsid w:val="DD7C8DA1"/>
    <w:rsid w:val="DF7D7243"/>
    <w:rsid w:val="E73B06B3"/>
    <w:rsid w:val="EF9DD4E3"/>
    <w:rsid w:val="F33752BE"/>
    <w:rsid w:val="F9D441FD"/>
    <w:rsid w:val="FBBFE06A"/>
    <w:rsid w:val="FD9FE1A1"/>
    <w:rsid w:val="FED7EB8E"/>
    <w:rsid w:val="FFF7157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color w:val="000000"/>
      <w:sz w:val="32"/>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w:basedOn w:val="1"/>
    <w:qFormat/>
    <w:uiPriority w:val="0"/>
    <w:pPr>
      <w:spacing w:line="500" w:lineRule="exact"/>
    </w:pPr>
    <w:rPr>
      <w:sz w:val="30"/>
    </w:rPr>
  </w:style>
  <w:style w:type="paragraph" w:styleId="7">
    <w:name w:val="Date"/>
    <w:basedOn w:val="1"/>
    <w:next w:val="1"/>
    <w:qFormat/>
    <w:uiPriority w:val="0"/>
    <w:pPr>
      <w:ind w:left="100" w:leftChars="2500"/>
    </w:pPr>
  </w:style>
  <w:style w:type="paragraph" w:styleId="8">
    <w:name w:val="Body Text Indent 2"/>
    <w:basedOn w:val="1"/>
    <w:qFormat/>
    <w:uiPriority w:val="0"/>
    <w:pPr>
      <w:ind w:firstLine="6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Normal (Web)"/>
    <w:basedOn w:val="1"/>
    <w:unhideWhenUsed/>
    <w:qFormat/>
    <w:uiPriority w:val="0"/>
    <w:pPr>
      <w:spacing w:beforeAutospacing="1" w:afterAutospacing="1"/>
      <w:jc w:val="left"/>
    </w:pPr>
    <w:rPr>
      <w:sz w:val="24"/>
    </w:rPr>
  </w:style>
  <w:style w:type="table" w:styleId="13">
    <w:name w:val="Table Grid"/>
    <w:basedOn w:val="12"/>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qFormat/>
    <w:uiPriority w:val="0"/>
    <w:rPr>
      <w:color w:val="0000FF"/>
      <w:u w:val="single"/>
    </w:rPr>
  </w:style>
  <w:style w:type="paragraph" w:customStyle="1" w:styleId="17">
    <w:name w:val="Char"/>
    <w:basedOn w:val="1"/>
    <w:qFormat/>
    <w:uiPriority w:val="0"/>
  </w:style>
  <w:style w:type="paragraph" w:customStyle="1" w:styleId="18">
    <w:name w:val="_Style 3"/>
    <w:basedOn w:val="1"/>
    <w:qFormat/>
    <w:uiPriority w:val="0"/>
  </w:style>
  <w:style w:type="paragraph" w:customStyle="1" w:styleId="19">
    <w:name w:val="Char Char"/>
    <w:basedOn w:val="1"/>
    <w:qFormat/>
    <w:uiPriority w:val="0"/>
    <w:rPr>
      <w:rFonts w:ascii="Times New Roman" w:eastAsia="宋体"/>
      <w:color w:val="auto"/>
      <w:kern w:val="2"/>
      <w:sz w:val="21"/>
      <w:szCs w:val="24"/>
    </w:rPr>
  </w:style>
  <w:style w:type="paragraph" w:customStyle="1" w:styleId="20">
    <w:name w:val="Char Char8"/>
    <w:basedOn w:val="1"/>
    <w:qFormat/>
    <w:uiPriority w:val="0"/>
    <w:rPr>
      <w:rFonts w:ascii="Times New Roman" w:eastAsia="宋体"/>
      <w:color w:val="auto"/>
      <w:kern w:val="2"/>
      <w:sz w:val="21"/>
      <w:szCs w:val="24"/>
    </w:rPr>
  </w:style>
  <w:style w:type="paragraph" w:customStyle="1" w:styleId="21">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dfdf</Company>
  <Pages>13</Pages>
  <Words>6853</Words>
  <Characters>7287</Characters>
  <Lines>45</Lines>
  <Paragraphs>12</Paragraphs>
  <TotalTime>2</TotalTime>
  <ScaleCrop>false</ScaleCrop>
  <LinksUpToDate>false</LinksUpToDate>
  <CharactersWithSpaces>7315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2019-12-17T07:04:00Z</dcterms:created>
  <dc:creator>未羽</dc:creator>
  <cp:lastModifiedBy>市资源规划局</cp:lastModifiedBy>
  <cp:lastPrinted>2021-12-06T15:02:00Z</cp:lastPrinted>
  <dcterms:modified xsi:type="dcterms:W3CDTF">2025-05-30T17:23:18Z</dcterms:modified>
  <dc:title>国有建设用地使用权拍卖出让须知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147DB053FB7B4A7CAC58A0FE60B8BF0F</vt:lpwstr>
  </property>
  <property fmtid="{D5CDD505-2E9C-101B-9397-08002B2CF9AE}" pid="4" name="KSOTemplateDocerSaveRecord">
    <vt:lpwstr>eyJoZGlkIjoiMjljMjQ1MGE2NTc3NDY5NjkzYjBhNWE2ZDQ4Y2RkYTEiLCJ1c2VySWQiOiI1MjM2NzUwMDcifQ==</vt:lpwstr>
  </property>
</Properties>
</file>