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丰2024-27-1号、丰2023-23号</w:t>
      </w:r>
      <w:r>
        <w:rPr>
          <w:rFonts w:ascii="Times New Roman" w:eastAsia="方正小标宋简体"/>
          <w:bCs/>
          <w:color w:val="auto"/>
          <w:sz w:val="44"/>
          <w:szCs w:val="44"/>
        </w:rPr>
        <w:t>地块国有</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2024-27-1号、丰2023-23号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拍卖时间：202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hAnsi="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hAnsi="仿宋_GB2312" w:cs="仿宋_GB2312"/>
          <w:color w:val="auto"/>
          <w:sz w:val="32"/>
          <w:szCs w:val="32"/>
          <w:lang w:val="en-US" w:eastAsia="zh-CN"/>
        </w:rPr>
        <w:t>11</w:t>
      </w:r>
      <w:r>
        <w:rPr>
          <w:rFonts w:hint="eastAsia" w:ascii="仿宋_GB2312" w:hAnsi="仿宋_GB2312" w:eastAsia="仿宋_GB2312" w:cs="仿宋_GB2312"/>
          <w:color w:val="auto"/>
          <w:sz w:val="32"/>
          <w:szCs w:val="32"/>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eastAsia="仿宋_GB2312"/>
          <w:color w:val="auto"/>
          <w:sz w:val="32"/>
          <w:szCs w:val="32"/>
        </w:rPr>
      </w:pPr>
      <w:r>
        <w:rPr>
          <w:rFonts w:hint="eastAsia" w:eastAsia="楷体_GB2312"/>
          <w:b/>
          <w:sz w:val="32"/>
          <w:szCs w:val="32"/>
          <w:lang w:val="en-US" w:eastAsia="zh-CN"/>
        </w:rPr>
        <w:t>1.</w:t>
      </w:r>
      <w:r>
        <w:rPr>
          <w:rFonts w:hint="eastAsia" w:eastAsia="楷体_GB2312"/>
          <w:b/>
          <w:sz w:val="32"/>
          <w:szCs w:val="32"/>
        </w:rPr>
        <w:t>丰2024-27-1号地块</w:t>
      </w:r>
      <w:r>
        <w:rPr>
          <w:rFonts w:eastAsia="楷体_GB2312"/>
          <w:b/>
          <w:sz w:val="32"/>
          <w:szCs w:val="32"/>
        </w:rPr>
        <w:t>。</w:t>
      </w:r>
      <w:r>
        <w:rPr>
          <w:rFonts w:eastAsia="仿宋_GB2312"/>
          <w:sz w:val="32"/>
          <w:szCs w:val="32"/>
        </w:rPr>
        <w:t>该宗</w:t>
      </w:r>
      <w:r>
        <w:rPr>
          <w:rFonts w:eastAsia="仿宋_GB2312"/>
          <w:color w:val="auto"/>
          <w:sz w:val="32"/>
          <w:szCs w:val="32"/>
        </w:rPr>
        <w:t>地即</w:t>
      </w:r>
      <w:r>
        <w:rPr>
          <w:rFonts w:hint="eastAsia" w:eastAsia="仿宋_GB2312"/>
          <w:color w:val="auto"/>
          <w:sz w:val="32"/>
          <w:szCs w:val="32"/>
          <w:lang w:val="en-US" w:eastAsia="zh-CN"/>
        </w:rPr>
        <w:t>2025-2号</w:t>
      </w:r>
      <w:r>
        <w:rPr>
          <w:rFonts w:eastAsia="仿宋_GB2312"/>
          <w:color w:val="auto"/>
          <w:sz w:val="32"/>
          <w:szCs w:val="32"/>
        </w:rPr>
        <w:t>储备用地，</w:t>
      </w:r>
      <w:r>
        <w:rPr>
          <w:rFonts w:ascii="Times New Roman" w:hAnsi="Times New Roman" w:eastAsia="仿宋_GB2312" w:cs="Times New Roman"/>
          <w:color w:val="auto"/>
          <w:sz w:val="32"/>
          <w:szCs w:val="32"/>
        </w:rPr>
        <w:t>位于</w:t>
      </w:r>
      <w:r>
        <w:rPr>
          <w:rFonts w:hint="eastAsia" w:ascii="Times New Roman" w:hAnsi="Times New Roman" w:eastAsia="仿宋_GB2312" w:cs="Times New Roman"/>
          <w:color w:val="auto"/>
          <w:sz w:val="32"/>
          <w:szCs w:val="32"/>
          <w:lang w:eastAsia="zh-CN"/>
        </w:rPr>
        <w:t>丰泽区金崎片区经十四路东侧、纬五路北侧</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用</w:t>
      </w:r>
      <w:r>
        <w:rPr>
          <w:rFonts w:eastAsia="仿宋_GB2312"/>
          <w:color w:val="auto"/>
          <w:sz w:val="32"/>
          <w:szCs w:val="32"/>
        </w:rPr>
        <w:t>地面积</w:t>
      </w:r>
      <w:r>
        <w:rPr>
          <w:rFonts w:hint="eastAsia" w:eastAsia="仿宋"/>
          <w:color w:val="000000"/>
          <w:sz w:val="32"/>
          <w:szCs w:val="32"/>
          <w:lang w:val="zh-CN"/>
        </w:rPr>
        <w:t>34505.64平方米（约合</w:t>
      </w:r>
      <w:r>
        <w:rPr>
          <w:rFonts w:hint="eastAsia" w:eastAsia="仿宋"/>
          <w:color w:val="000000"/>
          <w:sz w:val="32"/>
          <w:szCs w:val="32"/>
          <w:lang w:val="en-US" w:eastAsia="zh-CN"/>
        </w:rPr>
        <w:t>51.76</w:t>
      </w:r>
      <w:r>
        <w:rPr>
          <w:rFonts w:hint="eastAsia" w:eastAsia="仿宋"/>
          <w:color w:val="000000"/>
          <w:sz w:val="32"/>
          <w:szCs w:val="32"/>
          <w:lang w:val="zh-CN"/>
        </w:rPr>
        <w:t>亩）</w:t>
      </w:r>
      <w:r>
        <w:rPr>
          <w:rFonts w:eastAsia="仿宋_GB2312"/>
          <w:bCs/>
          <w:color w:val="auto"/>
          <w:sz w:val="32"/>
          <w:szCs w:val="32"/>
          <w:lang w:val="zh-CN"/>
        </w:rPr>
        <w:t>。</w:t>
      </w:r>
      <w:r>
        <w:rPr>
          <w:rFonts w:eastAsia="仿宋_GB2312"/>
          <w:color w:val="auto"/>
          <w:sz w:val="32"/>
          <w:szCs w:val="32"/>
        </w:rPr>
        <w:t>规划用途为</w:t>
      </w:r>
      <w:r>
        <w:rPr>
          <w:rFonts w:hint="eastAsia" w:eastAsia="仿宋_GB2312"/>
          <w:color w:val="auto"/>
          <w:sz w:val="32"/>
          <w:szCs w:val="32"/>
          <w:lang w:eastAsia="zh-CN"/>
        </w:rPr>
        <w:t>二类</w:t>
      </w:r>
      <w:r>
        <w:rPr>
          <w:rFonts w:hint="eastAsia" w:eastAsia="仿宋"/>
          <w:color w:val="000000"/>
          <w:sz w:val="32"/>
          <w:szCs w:val="32"/>
        </w:rPr>
        <w:t>城镇住宅用地</w:t>
      </w:r>
      <w:r>
        <w:rPr>
          <w:rFonts w:eastAsia="仿宋_GB2312"/>
          <w:bCs/>
          <w:color w:val="auto"/>
          <w:sz w:val="32"/>
          <w:szCs w:val="32"/>
          <w:lang w:val="zh-CN"/>
        </w:rPr>
        <w:t>。</w:t>
      </w:r>
      <w:r>
        <w:rPr>
          <w:rFonts w:eastAsia="仿宋_GB2312"/>
          <w:color w:val="auto"/>
          <w:sz w:val="32"/>
          <w:szCs w:val="32"/>
        </w:rPr>
        <w:t>主要技术指标为：容积率</w:t>
      </w:r>
      <w:r>
        <w:rPr>
          <w:rFonts w:hint="eastAsia" w:eastAsia="仿宋_GB2312"/>
          <w:color w:val="auto"/>
          <w:sz w:val="32"/>
          <w:szCs w:val="32"/>
          <w:lang w:val="en-US" w:eastAsia="zh-CN"/>
        </w:rPr>
        <w:t>2.5</w:t>
      </w:r>
      <w:r>
        <w:rPr>
          <w:rFonts w:eastAsia="仿宋_GB2312"/>
          <w:color w:val="auto"/>
          <w:sz w:val="32"/>
          <w:szCs w:val="32"/>
        </w:rPr>
        <w:t>以下</w:t>
      </w:r>
      <w:r>
        <w:rPr>
          <w:rFonts w:hint="eastAsia"/>
          <w:color w:val="auto"/>
          <w:sz w:val="32"/>
          <w:szCs w:val="32"/>
          <w:lang w:val="en-US" w:eastAsia="zh-CN"/>
        </w:rPr>
        <w:t>1.0以上</w:t>
      </w:r>
      <w:r>
        <w:rPr>
          <w:rFonts w:eastAsia="仿宋_GB2312"/>
          <w:color w:val="auto"/>
          <w:sz w:val="32"/>
          <w:szCs w:val="32"/>
        </w:rPr>
        <w:t>，建筑密度</w:t>
      </w:r>
      <w:r>
        <w:rPr>
          <w:rFonts w:hint="eastAsia" w:eastAsia="仿宋_GB2312"/>
          <w:color w:val="auto"/>
          <w:sz w:val="32"/>
          <w:szCs w:val="32"/>
          <w:lang w:val="en-US" w:eastAsia="zh-CN"/>
        </w:rPr>
        <w:t>30</w:t>
      </w:r>
      <w:r>
        <w:rPr>
          <w:rFonts w:hint="eastAsia" w:eastAsia="仿宋_GB2312"/>
          <w:color w:val="auto"/>
          <w:sz w:val="32"/>
          <w:szCs w:val="32"/>
        </w:rPr>
        <w:t>%</w:t>
      </w:r>
      <w:r>
        <w:rPr>
          <w:rFonts w:eastAsia="仿宋_GB2312"/>
          <w:color w:val="auto"/>
          <w:sz w:val="32"/>
          <w:szCs w:val="32"/>
        </w:rPr>
        <w:t>以下，绿地率</w:t>
      </w:r>
      <w:r>
        <w:rPr>
          <w:rFonts w:hint="eastAsia" w:eastAsia="仿宋_GB2312"/>
          <w:color w:val="auto"/>
          <w:sz w:val="32"/>
          <w:szCs w:val="32"/>
          <w:lang w:val="en-US" w:eastAsia="zh-CN"/>
        </w:rPr>
        <w:t>30</w:t>
      </w:r>
      <w:r>
        <w:rPr>
          <w:rFonts w:hint="eastAsia" w:eastAsia="仿宋_GB2312"/>
          <w:color w:val="auto"/>
          <w:sz w:val="32"/>
          <w:szCs w:val="32"/>
        </w:rPr>
        <w:t>%</w:t>
      </w:r>
      <w:r>
        <w:rPr>
          <w:rFonts w:eastAsia="仿宋_GB2312"/>
          <w:color w:val="auto"/>
          <w:sz w:val="32"/>
          <w:szCs w:val="32"/>
        </w:rPr>
        <w:t>以上，建筑高度</w:t>
      </w:r>
      <w:r>
        <w:rPr>
          <w:rFonts w:hint="eastAsia" w:eastAsia="仿宋_GB2312"/>
          <w:color w:val="auto"/>
          <w:sz w:val="32"/>
          <w:szCs w:val="32"/>
          <w:lang w:val="en-US" w:eastAsia="zh-CN"/>
        </w:rPr>
        <w:t>80</w:t>
      </w:r>
      <w:r>
        <w:rPr>
          <w:rFonts w:eastAsia="仿宋_GB2312"/>
          <w:color w:val="auto"/>
          <w:sz w:val="32"/>
          <w:szCs w:val="32"/>
        </w:rPr>
        <w:t>米以下。</w:t>
      </w:r>
      <w:r>
        <w:rPr>
          <w:rFonts w:hint="eastAsia" w:eastAsia="仿宋_GB2312"/>
          <w:color w:val="auto"/>
          <w:sz w:val="32"/>
          <w:szCs w:val="32"/>
          <w:lang w:eastAsia="zh-CN"/>
        </w:rPr>
        <w:t>主要</w:t>
      </w:r>
      <w:r>
        <w:rPr>
          <w:rFonts w:eastAsia="仿宋_GB2312"/>
          <w:color w:val="auto"/>
          <w:sz w:val="32"/>
          <w:szCs w:val="32"/>
        </w:rPr>
        <w:t>建设内容为</w:t>
      </w:r>
      <w:r>
        <w:rPr>
          <w:rFonts w:hint="eastAsia" w:eastAsia="仿宋_GB2312"/>
          <w:color w:val="auto"/>
          <w:sz w:val="32"/>
          <w:szCs w:val="32"/>
          <w:lang w:eastAsia="zh-CN"/>
        </w:rPr>
        <w:t>住宅及其配套设施</w:t>
      </w:r>
      <w:r>
        <w:rPr>
          <w:rFonts w:hint="eastAsia"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eastAsia="仿宋_GB2312"/>
          <w:color w:val="000000"/>
          <w:sz w:val="32"/>
          <w:szCs w:val="32"/>
          <w:lang w:val="en-US"/>
        </w:rPr>
      </w:pPr>
      <w:r>
        <w:rPr>
          <w:rFonts w:hint="eastAsia" w:eastAsia="楷体_GB2312"/>
          <w:b/>
          <w:sz w:val="32"/>
          <w:szCs w:val="32"/>
          <w:lang w:val="en-US" w:eastAsia="zh-CN"/>
        </w:rPr>
        <w:t>2.</w:t>
      </w:r>
      <w:r>
        <w:rPr>
          <w:rFonts w:hint="eastAsia" w:eastAsia="楷体_GB2312"/>
          <w:b/>
          <w:sz w:val="32"/>
          <w:szCs w:val="32"/>
        </w:rPr>
        <w:t>丰2023-2</w:t>
      </w:r>
      <w:r>
        <w:rPr>
          <w:rFonts w:hint="eastAsia" w:eastAsia="楷体_GB2312"/>
          <w:b/>
          <w:sz w:val="32"/>
          <w:szCs w:val="32"/>
          <w:lang w:val="en-US" w:eastAsia="zh-CN"/>
        </w:rPr>
        <w:t>3</w:t>
      </w:r>
      <w:r>
        <w:rPr>
          <w:rFonts w:hint="eastAsia" w:eastAsia="楷体_GB2312"/>
          <w:b/>
          <w:sz w:val="32"/>
          <w:szCs w:val="32"/>
        </w:rPr>
        <w:t>号地块</w:t>
      </w:r>
      <w:r>
        <w:rPr>
          <w:rFonts w:hint="eastAsia" w:eastAsia="楷体_GB2312"/>
          <w:b/>
          <w:sz w:val="32"/>
          <w:szCs w:val="32"/>
          <w:lang w:eastAsia="zh-CN"/>
        </w:rPr>
        <w:t>。</w:t>
      </w:r>
      <w:r>
        <w:rPr>
          <w:rFonts w:eastAsia="仿宋_GB2312"/>
          <w:sz w:val="32"/>
          <w:szCs w:val="32"/>
        </w:rPr>
        <w:t>该宗</w:t>
      </w:r>
      <w:r>
        <w:rPr>
          <w:rFonts w:eastAsia="仿宋_GB2312"/>
          <w:color w:val="auto"/>
          <w:sz w:val="32"/>
          <w:szCs w:val="32"/>
        </w:rPr>
        <w:t>地即</w:t>
      </w:r>
      <w:r>
        <w:rPr>
          <w:rFonts w:hint="eastAsia" w:eastAsia="仿宋_GB2312"/>
          <w:color w:val="auto"/>
          <w:sz w:val="32"/>
          <w:szCs w:val="32"/>
          <w:lang w:val="en-US" w:eastAsia="zh-CN"/>
        </w:rPr>
        <w:t>2021-21号</w:t>
      </w:r>
      <w:r>
        <w:rPr>
          <w:rFonts w:eastAsia="仿宋_GB2312"/>
          <w:color w:val="auto"/>
          <w:sz w:val="32"/>
          <w:szCs w:val="32"/>
        </w:rPr>
        <w:t>储备用地，</w:t>
      </w:r>
      <w:r>
        <w:rPr>
          <w:rFonts w:ascii="Times New Roman" w:hAnsi="Times New Roman" w:eastAsia="仿宋_GB2312" w:cs="Times New Roman"/>
          <w:color w:val="auto"/>
          <w:sz w:val="32"/>
          <w:szCs w:val="32"/>
        </w:rPr>
        <w:t>位于</w:t>
      </w:r>
      <w:r>
        <w:rPr>
          <w:rFonts w:hint="eastAsia" w:ascii="Times New Roman" w:hAnsi="Times New Roman" w:eastAsia="仿宋_GB2312" w:cs="Times New Roman"/>
          <w:color w:val="auto"/>
          <w:sz w:val="32"/>
          <w:szCs w:val="32"/>
        </w:rPr>
        <w:t>丰泽区</w:t>
      </w:r>
      <w:r>
        <w:rPr>
          <w:rFonts w:hint="eastAsia" w:ascii="Times New Roman" w:hAnsi="Times New Roman" w:eastAsia="仿宋_GB2312" w:cs="Times New Roman"/>
          <w:color w:val="auto"/>
          <w:sz w:val="32"/>
          <w:szCs w:val="32"/>
          <w:lang w:eastAsia="zh-CN"/>
        </w:rPr>
        <w:t>南埔山</w:t>
      </w:r>
      <w:r>
        <w:rPr>
          <w:rFonts w:hint="eastAsia" w:ascii="Times New Roman" w:hAnsi="Times New Roman" w:eastAsia="仿宋_GB2312" w:cs="Times New Roman"/>
          <w:color w:val="auto"/>
          <w:sz w:val="32"/>
          <w:szCs w:val="32"/>
        </w:rPr>
        <w:t>片区</w:t>
      </w:r>
      <w:r>
        <w:rPr>
          <w:rFonts w:hint="eastAsia" w:ascii="Times New Roman" w:hAnsi="Times New Roman" w:eastAsia="仿宋_GB2312" w:cs="Times New Roman"/>
          <w:color w:val="auto"/>
          <w:sz w:val="32"/>
          <w:szCs w:val="32"/>
          <w:lang w:eastAsia="zh-CN"/>
        </w:rPr>
        <w:t>，北至顶荣路、西至毓才街、东至环山西路</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用</w:t>
      </w:r>
      <w:r>
        <w:rPr>
          <w:rFonts w:eastAsia="仿宋_GB2312"/>
          <w:color w:val="auto"/>
          <w:sz w:val="32"/>
          <w:szCs w:val="32"/>
        </w:rPr>
        <w:t>地面积</w:t>
      </w:r>
      <w:r>
        <w:rPr>
          <w:rFonts w:hint="eastAsia" w:eastAsia="仿宋_GB2312"/>
          <w:color w:val="auto"/>
          <w:sz w:val="32"/>
          <w:szCs w:val="32"/>
        </w:rPr>
        <w:t>28374.6</w:t>
      </w:r>
      <w:r>
        <w:rPr>
          <w:rFonts w:eastAsia="仿宋_GB2312"/>
          <w:bCs/>
          <w:color w:val="auto"/>
          <w:sz w:val="32"/>
          <w:szCs w:val="32"/>
          <w:lang w:val="zh-CN"/>
        </w:rPr>
        <w:t>平方米（</w:t>
      </w:r>
      <w:r>
        <w:rPr>
          <w:rFonts w:hint="eastAsia" w:eastAsia="仿宋_GB2312"/>
          <w:bCs/>
          <w:color w:val="auto"/>
          <w:sz w:val="32"/>
          <w:szCs w:val="32"/>
          <w:lang w:val="zh-CN"/>
        </w:rPr>
        <w:t>约合</w:t>
      </w:r>
      <w:r>
        <w:rPr>
          <w:rFonts w:hint="eastAsia" w:eastAsia="仿宋"/>
          <w:color w:val="auto"/>
          <w:sz w:val="32"/>
          <w:szCs w:val="32"/>
          <w:lang w:val="en-US" w:eastAsia="zh-CN"/>
        </w:rPr>
        <w:t>42.56</w:t>
      </w:r>
      <w:r>
        <w:rPr>
          <w:rFonts w:hint="eastAsia" w:eastAsia="仿宋_GB2312"/>
          <w:bCs/>
          <w:color w:val="auto"/>
          <w:sz w:val="32"/>
          <w:szCs w:val="32"/>
          <w:lang w:val="zh-CN"/>
        </w:rPr>
        <w:t>亩</w:t>
      </w:r>
      <w:r>
        <w:rPr>
          <w:rFonts w:eastAsia="仿宋_GB2312"/>
          <w:bCs/>
          <w:color w:val="auto"/>
          <w:sz w:val="32"/>
          <w:szCs w:val="32"/>
          <w:lang w:val="zh-CN"/>
        </w:rPr>
        <w:t>）。</w:t>
      </w:r>
      <w:r>
        <w:rPr>
          <w:rFonts w:hint="eastAsia" w:ascii="Times New Roman" w:hAnsi="Times New Roman" w:eastAsia="仿宋_GB2312" w:cs="Times New Roman"/>
          <w:color w:val="auto"/>
          <w:sz w:val="32"/>
          <w:szCs w:val="32"/>
          <w:lang w:eastAsia="zh-CN"/>
        </w:rPr>
        <w:t>规划用途为城镇住宅用地</w:t>
      </w:r>
      <w:r>
        <w:rPr>
          <w:rFonts w:eastAsia="仿宋_GB2312"/>
          <w:bCs/>
          <w:color w:val="auto"/>
          <w:sz w:val="32"/>
          <w:szCs w:val="32"/>
          <w:lang w:val="zh-CN"/>
        </w:rPr>
        <w:t>。</w:t>
      </w:r>
      <w:r>
        <w:rPr>
          <w:rFonts w:eastAsia="仿宋_GB2312"/>
          <w:color w:val="auto"/>
          <w:sz w:val="32"/>
          <w:szCs w:val="32"/>
        </w:rPr>
        <w:t>主要技术指标为：容积率</w:t>
      </w:r>
      <w:r>
        <w:rPr>
          <w:rFonts w:hint="eastAsia" w:eastAsia="仿宋_GB2312"/>
          <w:color w:val="auto"/>
          <w:sz w:val="32"/>
          <w:szCs w:val="32"/>
          <w:lang w:val="en-US" w:eastAsia="zh-CN"/>
        </w:rPr>
        <w:t>2.2</w:t>
      </w:r>
      <w:r>
        <w:rPr>
          <w:rFonts w:eastAsia="仿宋_GB2312"/>
          <w:color w:val="auto"/>
          <w:sz w:val="32"/>
          <w:szCs w:val="32"/>
        </w:rPr>
        <w:t>以下</w:t>
      </w:r>
      <w:r>
        <w:rPr>
          <w:rFonts w:hint="eastAsia" w:eastAsia="仿宋_GB2312"/>
          <w:color w:val="auto"/>
          <w:sz w:val="32"/>
          <w:szCs w:val="32"/>
          <w:lang w:val="en-US" w:eastAsia="zh-CN"/>
        </w:rPr>
        <w:t>1.0以上</w:t>
      </w:r>
      <w:r>
        <w:rPr>
          <w:rFonts w:eastAsia="仿宋_GB2312"/>
          <w:color w:val="auto"/>
          <w:sz w:val="32"/>
          <w:szCs w:val="32"/>
        </w:rPr>
        <w:t>，建筑密度</w:t>
      </w:r>
      <w:r>
        <w:rPr>
          <w:rFonts w:hint="eastAsia" w:eastAsia="仿宋_GB2312"/>
          <w:color w:val="auto"/>
          <w:sz w:val="32"/>
          <w:szCs w:val="32"/>
          <w:lang w:val="en-US" w:eastAsia="zh-CN"/>
        </w:rPr>
        <w:t>25</w:t>
      </w:r>
      <w:r>
        <w:rPr>
          <w:rFonts w:hint="eastAsia" w:eastAsia="仿宋_GB2312"/>
          <w:color w:val="auto"/>
          <w:sz w:val="32"/>
          <w:szCs w:val="32"/>
        </w:rPr>
        <w:t>%</w:t>
      </w:r>
      <w:r>
        <w:rPr>
          <w:rFonts w:eastAsia="仿宋_GB2312"/>
          <w:color w:val="auto"/>
          <w:sz w:val="32"/>
          <w:szCs w:val="32"/>
        </w:rPr>
        <w:t>以下，绿地率</w:t>
      </w:r>
      <w:r>
        <w:rPr>
          <w:rFonts w:hint="eastAsia" w:eastAsia="仿宋_GB2312"/>
          <w:color w:val="auto"/>
          <w:sz w:val="32"/>
          <w:szCs w:val="32"/>
          <w:lang w:val="en-US" w:eastAsia="zh-CN"/>
        </w:rPr>
        <w:t>30</w:t>
      </w:r>
      <w:r>
        <w:rPr>
          <w:rFonts w:hint="eastAsia" w:eastAsia="仿宋_GB2312"/>
          <w:color w:val="auto"/>
          <w:sz w:val="32"/>
          <w:szCs w:val="32"/>
        </w:rPr>
        <w:t>%</w:t>
      </w:r>
      <w:r>
        <w:rPr>
          <w:rFonts w:eastAsia="仿宋_GB2312"/>
          <w:color w:val="auto"/>
          <w:sz w:val="32"/>
          <w:szCs w:val="32"/>
        </w:rPr>
        <w:t>以上，</w:t>
      </w:r>
      <w:r>
        <w:rPr>
          <w:rFonts w:hint="eastAsia" w:eastAsia="仿宋_GB2312"/>
          <w:color w:val="auto"/>
          <w:sz w:val="32"/>
          <w:szCs w:val="32"/>
        </w:rPr>
        <w:t>建筑高度36米以下。</w:t>
      </w:r>
      <w:r>
        <w:rPr>
          <w:rFonts w:hint="eastAsia" w:eastAsia="仿宋_GB2312"/>
          <w:color w:val="auto"/>
          <w:sz w:val="32"/>
          <w:szCs w:val="32"/>
          <w:lang w:eastAsia="zh-CN"/>
        </w:rPr>
        <w:t>主要</w:t>
      </w:r>
      <w:r>
        <w:rPr>
          <w:rFonts w:eastAsia="仿宋_GB2312"/>
          <w:color w:val="auto"/>
          <w:sz w:val="32"/>
          <w:szCs w:val="32"/>
        </w:rPr>
        <w:t>建设内容为</w:t>
      </w:r>
      <w:r>
        <w:rPr>
          <w:rFonts w:hint="eastAsia" w:eastAsia="仿宋_GB2312"/>
          <w:color w:val="auto"/>
          <w:sz w:val="32"/>
          <w:szCs w:val="32"/>
          <w:lang w:eastAsia="zh-CN"/>
        </w:rPr>
        <w:t>住宅及商业等配套设施，其中商业计容建筑面积为</w:t>
      </w:r>
      <w:r>
        <w:rPr>
          <w:rFonts w:hint="eastAsia" w:eastAsia="仿宋_GB2312"/>
          <w:color w:val="auto"/>
          <w:sz w:val="32"/>
          <w:szCs w:val="32"/>
          <w:lang w:val="en-US" w:eastAsia="zh-CN"/>
        </w:rPr>
        <w:t>2000平方米。</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（二）规划指标和相关要求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地块竞买申请人须具有房地产开发资质。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丰202</w:t>
      </w:r>
      <w:r>
        <w:rPr>
          <w:rFonts w:hint="default" w:ascii="Times New Roman" w:hAnsi="Times New Roman" w:eastAsia="仿宋_GB2312" w:cs="Times New Roman"/>
          <w:color w:val="auto"/>
          <w:sz w:val="32"/>
          <w:szCs w:val="32"/>
          <w:lang w:val="en-US" w:eastAsia="zh-CN"/>
        </w:rPr>
        <w:t>4-27-1</w:t>
      </w:r>
      <w:r>
        <w:rPr>
          <w:rFonts w:hint="default" w:ascii="Times New Roman" w:hAnsi="Times New Roman" w:eastAsia="仿宋_GB2312" w:cs="Times New Roman"/>
          <w:color w:val="auto"/>
          <w:sz w:val="32"/>
          <w:szCs w:val="32"/>
        </w:rPr>
        <w:t>号地块竞得人须按有关规范要求配套建设相应的公共配套服务设施，包括：</w:t>
      </w:r>
      <w:r>
        <w:rPr>
          <w:rFonts w:hint="default" w:ascii="Times New Roman" w:hAnsi="Times New Roman" w:eastAsia="仿宋_GB2312" w:cs="Times New Roman"/>
          <w:color w:val="auto"/>
          <w:sz w:val="32"/>
          <w:szCs w:val="32"/>
          <w:lang w:eastAsia="zh-CN"/>
        </w:rPr>
        <w:t>社区综合服务用房、居家养老服务站、幼儿园及托育用房</w:t>
      </w:r>
      <w:r>
        <w:rPr>
          <w:rFonts w:hint="default" w:ascii="Times New Roman" w:hAnsi="Times New Roman" w:eastAsia="仿宋_GB2312" w:cs="Times New Roman"/>
          <w:color w:val="auto"/>
          <w:sz w:val="32"/>
          <w:szCs w:val="32"/>
        </w:rPr>
        <w:t>等设施[具体规划要求详见《泉州市自然资源和规划局关于下达</w:t>
      </w:r>
      <w:r>
        <w:rPr>
          <w:rFonts w:hint="default" w:ascii="Times New Roman" w:hAnsi="Times New Roman" w:eastAsia="仿宋_GB2312" w:cs="Times New Roman"/>
          <w:color w:val="auto"/>
          <w:sz w:val="32"/>
          <w:szCs w:val="32"/>
          <w:lang w:val="en-US" w:eastAsia="zh-CN"/>
        </w:rPr>
        <w:t>2025-2</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号）]，且上述公共配套服务设施应相对集中布置在交通便利、方便群众使用的地方，与项目主体建筑同时设计、同时建设，否则住建部门不予核发预售证，建成后无偿将产权、使用权移交给政府指定</w:t>
      </w:r>
      <w:r>
        <w:rPr>
          <w:rFonts w:hint="default" w:ascii="Times New Roman" w:hAnsi="Times New Roman" w:eastAsia="仿宋_GB2312" w:cs="Times New Roman"/>
          <w:color w:val="auto"/>
          <w:spacing w:val="6"/>
          <w:sz w:val="32"/>
          <w:szCs w:val="32"/>
        </w:rPr>
        <w:t>的有权机构</w:t>
      </w:r>
      <w:r>
        <w:rPr>
          <w:rFonts w:hint="default" w:ascii="Times New Roman" w:hAnsi="Times New Roman" w:eastAsia="仿宋_GB2312" w:cs="Times New Roman"/>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丰202</w:t>
      </w:r>
      <w:r>
        <w:rPr>
          <w:rFonts w:hint="default" w:ascii="Times New Roman" w:hAnsi="Times New Roman" w:eastAsia="仿宋_GB2312" w:cs="Times New Roman"/>
          <w:color w:val="auto"/>
          <w:sz w:val="32"/>
          <w:szCs w:val="32"/>
          <w:lang w:val="en-US" w:eastAsia="zh-CN"/>
        </w:rPr>
        <w:t>3-23</w:t>
      </w:r>
      <w:r>
        <w:rPr>
          <w:rFonts w:hint="default" w:ascii="Times New Roman" w:hAnsi="Times New Roman" w:eastAsia="仿宋_GB2312" w:cs="Times New Roman"/>
          <w:color w:val="auto"/>
          <w:sz w:val="32"/>
          <w:szCs w:val="32"/>
        </w:rPr>
        <w:t>号地块竞得人须按有关规范要求配套建设相应的公共配套服务设施，包括：</w:t>
      </w:r>
      <w:r>
        <w:rPr>
          <w:rFonts w:hint="default" w:ascii="Times New Roman" w:hAnsi="Times New Roman" w:eastAsia="仿宋_GB2312" w:cs="Times New Roman"/>
          <w:color w:val="auto"/>
          <w:sz w:val="32"/>
          <w:szCs w:val="32"/>
          <w:lang w:eastAsia="zh-CN"/>
        </w:rPr>
        <w:t>社区管理服务用房、社区医疗服务站、</w:t>
      </w:r>
      <w:r>
        <w:rPr>
          <w:rFonts w:hint="default" w:ascii="Times New Roman" w:hAnsi="Times New Roman" w:eastAsia="仿宋_GB2312" w:cs="Times New Roman"/>
          <w:color w:val="auto"/>
          <w:sz w:val="32"/>
          <w:szCs w:val="32"/>
        </w:rPr>
        <w:t>居家养老服务</w:t>
      </w:r>
      <w:r>
        <w:rPr>
          <w:rFonts w:hint="default" w:ascii="Times New Roman" w:hAnsi="Times New Roman" w:eastAsia="仿宋_GB2312" w:cs="Times New Roman"/>
          <w:color w:val="auto"/>
          <w:sz w:val="32"/>
          <w:szCs w:val="32"/>
          <w:lang w:eastAsia="zh-CN"/>
        </w:rPr>
        <w:t>站</w:t>
      </w:r>
      <w:r>
        <w:rPr>
          <w:rFonts w:hint="default" w:ascii="Times New Roman" w:hAnsi="Times New Roman" w:eastAsia="仿宋_GB2312" w:cs="Times New Roman"/>
          <w:color w:val="auto"/>
          <w:sz w:val="32"/>
          <w:szCs w:val="32"/>
        </w:rPr>
        <w:t>等设施[具体规划要求详见《泉州市自然资源和规划局关于下达</w:t>
      </w:r>
      <w:r>
        <w:rPr>
          <w:rFonts w:hint="default" w:ascii="Times New Roman" w:hAnsi="Times New Roman" w:eastAsia="仿宋_GB2312" w:cs="Times New Roman"/>
          <w:color w:val="auto"/>
          <w:sz w:val="32"/>
          <w:szCs w:val="32"/>
          <w:lang w:val="en-US" w:eastAsia="zh-CN"/>
        </w:rPr>
        <w:t>2021-21</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306</w:t>
      </w:r>
      <w:r>
        <w:rPr>
          <w:rFonts w:hint="default" w:ascii="Times New Roman" w:hAnsi="Times New Roman" w:eastAsia="仿宋_GB2312" w:cs="Times New Roman"/>
          <w:color w:val="auto"/>
          <w:sz w:val="32"/>
          <w:szCs w:val="32"/>
        </w:rPr>
        <w:t>号）]，且上述公共配套服务设施应相对集中布置在交通便利、方便群众使用的地方，与项目主体建筑同时设计、同时建设，否则住建部门不予核发预售证，建成后无偿将产权、使用权移交给政府指定</w:t>
      </w:r>
      <w:r>
        <w:rPr>
          <w:rFonts w:hint="default" w:ascii="Times New Roman" w:hAnsi="Times New Roman" w:eastAsia="仿宋_GB2312" w:cs="Times New Roman"/>
          <w:color w:val="auto"/>
          <w:spacing w:val="6"/>
          <w:sz w:val="32"/>
          <w:szCs w:val="32"/>
        </w:rPr>
        <w:t>的有权机构</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丰</w:t>
      </w:r>
      <w:r>
        <w:rPr>
          <w:rFonts w:hint="default" w:ascii="Times New Roman" w:hAnsi="Times New Roman" w:eastAsia="仿宋_GB2312" w:cs="Times New Roman"/>
          <w:color w:val="auto"/>
          <w:sz w:val="32"/>
          <w:szCs w:val="32"/>
          <w:lang w:val="en-US" w:eastAsia="zh-CN"/>
        </w:rPr>
        <w:t>2023-23号</w:t>
      </w:r>
      <w:r>
        <w:rPr>
          <w:rFonts w:hint="default" w:ascii="Times New Roman" w:hAnsi="Times New Roman" w:eastAsia="仿宋_GB2312" w:cs="Times New Roman"/>
          <w:color w:val="auto"/>
          <w:sz w:val="32"/>
          <w:szCs w:val="32"/>
        </w:rPr>
        <w:t>地块竞得人应在与我局签订《国有建设用地使用权出让合同》之日起5个工作日内，与</w:t>
      </w:r>
      <w:r>
        <w:rPr>
          <w:rFonts w:hint="default" w:ascii="Times New Roman" w:hAnsi="Times New Roman" w:eastAsia="仿宋_GB2312" w:cs="Times New Roman"/>
          <w:color w:val="auto"/>
          <w:sz w:val="32"/>
          <w:szCs w:val="32"/>
          <w:lang w:eastAsia="zh-CN"/>
        </w:rPr>
        <w:t>泉州市丰泽丰泉商务区开发建设有限公司</w:t>
      </w:r>
      <w:r>
        <w:rPr>
          <w:rFonts w:hint="default" w:ascii="Times New Roman" w:hAnsi="Times New Roman" w:eastAsia="仿宋_GB2312" w:cs="Times New Roman"/>
          <w:color w:val="auto"/>
          <w:sz w:val="32"/>
          <w:szCs w:val="32"/>
        </w:rPr>
        <w:t>签订</w:t>
      </w:r>
      <w:r>
        <w:rPr>
          <w:rFonts w:hint="default" w:ascii="Times New Roman" w:hAnsi="Times New Roman" w:eastAsia="仿宋_GB2312" w:cs="Times New Roman"/>
          <w:color w:val="auto"/>
          <w:sz w:val="32"/>
          <w:szCs w:val="32"/>
          <w:lang w:val="en-US" w:eastAsia="zh-CN"/>
        </w:rPr>
        <w:t>安置型商品房</w:t>
      </w:r>
      <w:r>
        <w:rPr>
          <w:rFonts w:hint="default" w:ascii="Times New Roman" w:hAnsi="Times New Roman" w:eastAsia="仿宋_GB2312" w:cs="Times New Roman"/>
          <w:color w:val="auto"/>
          <w:sz w:val="32"/>
          <w:szCs w:val="32"/>
          <w:lang w:eastAsia="zh-CN"/>
        </w:rPr>
        <w:t>回购</w:t>
      </w:r>
      <w:r>
        <w:rPr>
          <w:rFonts w:hint="default" w:ascii="Times New Roman" w:hAnsi="Times New Roman" w:eastAsia="仿宋_GB2312" w:cs="Times New Roman"/>
          <w:color w:val="auto"/>
          <w:sz w:val="32"/>
          <w:szCs w:val="32"/>
        </w:rPr>
        <w:t>协议。</w:t>
      </w:r>
      <w:r>
        <w:rPr>
          <w:rFonts w:hint="default" w:ascii="Times New Roman" w:hAnsi="Times New Roman" w:eastAsia="仿宋_GB2312" w:cs="Times New Roman"/>
          <w:color w:val="auto"/>
          <w:sz w:val="32"/>
          <w:szCs w:val="32"/>
          <w:lang w:eastAsia="zh-CN"/>
        </w:rPr>
        <w:t>住宅、商业</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泉州市丰泽丰泉商务区开发建设有限公司</w:t>
      </w:r>
      <w:r>
        <w:rPr>
          <w:rFonts w:hint="default" w:ascii="Times New Roman" w:hAnsi="Times New Roman" w:eastAsia="仿宋_GB2312" w:cs="Times New Roman"/>
          <w:color w:val="auto"/>
          <w:sz w:val="32"/>
          <w:szCs w:val="32"/>
        </w:rPr>
        <w:t>全部</w:t>
      </w:r>
      <w:r>
        <w:rPr>
          <w:rFonts w:hint="default" w:ascii="Times New Roman" w:hAnsi="Times New Roman" w:eastAsia="仿宋_GB2312" w:cs="Times New Roman"/>
          <w:color w:val="auto"/>
          <w:sz w:val="32"/>
          <w:szCs w:val="32"/>
          <w:lang w:eastAsia="zh-CN"/>
        </w:rPr>
        <w:t>回购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住宅回购</w:t>
      </w:r>
      <w:r>
        <w:rPr>
          <w:rFonts w:hint="default" w:ascii="Times New Roman" w:hAnsi="Times New Roman" w:eastAsia="仿宋_GB2312" w:cs="Times New Roman"/>
          <w:color w:val="auto"/>
          <w:sz w:val="32"/>
          <w:szCs w:val="32"/>
        </w:rPr>
        <w:t>价为</w:t>
      </w:r>
      <w:r>
        <w:rPr>
          <w:rFonts w:hint="default" w:ascii="Times New Roman" w:hAnsi="Times New Roman" w:eastAsia="仿宋_GB2312" w:cs="Times New Roman"/>
          <w:color w:val="auto"/>
          <w:sz w:val="32"/>
          <w:szCs w:val="32"/>
          <w:lang w:val="en-US" w:eastAsia="zh-CN"/>
        </w:rPr>
        <w:t>6203</w:t>
      </w:r>
      <w:r>
        <w:rPr>
          <w:rFonts w:hint="default" w:ascii="Times New Roman" w:hAnsi="Times New Roman" w:eastAsia="仿宋_GB2312" w:cs="Times New Roman"/>
          <w:color w:val="auto"/>
          <w:sz w:val="32"/>
          <w:szCs w:val="32"/>
        </w:rPr>
        <w:t>元/平方米，</w:t>
      </w:r>
      <w:r>
        <w:rPr>
          <w:rFonts w:hint="default" w:ascii="Times New Roman" w:hAnsi="Times New Roman" w:eastAsia="仿宋_GB2312" w:cs="Times New Roman"/>
          <w:color w:val="auto"/>
          <w:sz w:val="32"/>
          <w:szCs w:val="32"/>
          <w:lang w:eastAsia="zh-CN"/>
        </w:rPr>
        <w:t>商业回购价为</w:t>
      </w:r>
      <w:r>
        <w:rPr>
          <w:rFonts w:hint="default" w:ascii="Times New Roman" w:hAnsi="Times New Roman" w:eastAsia="仿宋_GB2312" w:cs="Times New Roman"/>
          <w:color w:val="auto"/>
          <w:sz w:val="32"/>
          <w:szCs w:val="32"/>
          <w:lang w:val="en-US" w:eastAsia="zh-CN"/>
        </w:rPr>
        <w:t>4000</w:t>
      </w:r>
      <w:r>
        <w:rPr>
          <w:rFonts w:hint="default" w:ascii="Times New Roman" w:hAnsi="Times New Roman" w:eastAsia="仿宋_GB2312" w:cs="Times New Roman"/>
          <w:color w:val="auto"/>
          <w:sz w:val="32"/>
          <w:szCs w:val="32"/>
        </w:rPr>
        <w:t>元/平方</w:t>
      </w:r>
      <w:r>
        <w:rPr>
          <w:rFonts w:hint="default" w:ascii="Times New Roman" w:hAnsi="Times New Roman" w:eastAsia="仿宋_GB2312" w:cs="Times New Roman"/>
          <w:color w:val="auto"/>
          <w:sz w:val="32"/>
          <w:szCs w:val="32"/>
          <w:lang w:eastAsia="zh-CN"/>
        </w:rPr>
        <w:t>米；地下室停车位回购</w:t>
      </w:r>
      <w:r>
        <w:rPr>
          <w:rFonts w:hint="default" w:ascii="Times New Roman" w:hAnsi="Times New Roman" w:eastAsia="仿宋_GB2312" w:cs="Times New Roman"/>
          <w:color w:val="auto"/>
          <w:sz w:val="32"/>
          <w:szCs w:val="32"/>
          <w:lang w:val="en-US" w:eastAsia="zh-CN"/>
        </w:rPr>
        <w:t>300个，车位回购</w:t>
      </w:r>
      <w:r>
        <w:rPr>
          <w:rFonts w:hint="default" w:ascii="Times New Roman" w:hAnsi="Times New Roman" w:eastAsia="仿宋_GB2312" w:cs="Times New Roman"/>
          <w:color w:val="auto"/>
          <w:sz w:val="32"/>
          <w:szCs w:val="32"/>
          <w:lang w:eastAsia="zh-CN"/>
        </w:rPr>
        <w:t>价为1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万元/个，并待完成全部安置回购后方可对外销售。</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5.丰2023-23号地块配套商业建筑不可分割销售、不可分割转让。</w:t>
      </w:r>
    </w:p>
    <w:p>
      <w:pPr>
        <w:widowControl/>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6.丰2024-27-1号地块相邻北侧800米内规划有一所区级初中学校，北侧900米内已规划建设有泉州师范学院第二附属小学。</w:t>
      </w:r>
      <w:r>
        <w:rPr>
          <w:rFonts w:hint="default" w:ascii="Times New Roman" w:hAnsi="Times New Roman" w:eastAsia="仿宋_GB2312" w:cs="Times New Roman"/>
          <w:color w:val="auto"/>
          <w:sz w:val="32"/>
          <w:szCs w:val="32"/>
        </w:rPr>
        <w:t>关于学区划分事宜，需待当年度片区摸底生源数，并结合新建学校投用情况后确定，具体以当年度的招生政策为准。</w:t>
      </w:r>
    </w:p>
    <w:p>
      <w:pPr>
        <w:widowControl/>
        <w:spacing w:line="560" w:lineRule="exact"/>
        <w:ind w:firstLine="640" w:firstLineChars="200"/>
        <w:rPr>
          <w:rFonts w:hint="default" w:ascii="Times New Roman" w:hAnsi="Times New Roman" w:eastAsia="仿宋_GB2312" w:cs="Times New Roman"/>
          <w:color w:val="auto"/>
          <w:sz w:val="32"/>
          <w:szCs w:val="48"/>
          <w:lang w:val="en-US" w:eastAsia="zh-CN"/>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.丰2024-27-1号</w:t>
      </w:r>
      <w:r>
        <w:rPr>
          <w:rFonts w:hint="default" w:ascii="Times New Roman" w:hAnsi="Times New Roman" w:eastAsia="仿宋_GB2312" w:cs="Times New Roman"/>
          <w:color w:val="auto"/>
          <w:sz w:val="32"/>
          <w:szCs w:val="48"/>
          <w:lang w:val="en-US" w:eastAsia="zh-CN"/>
        </w:rPr>
        <w:t>地块</w:t>
      </w:r>
      <w:r>
        <w:rPr>
          <w:rFonts w:hint="default" w:ascii="Times New Roman" w:hAnsi="Times New Roman" w:eastAsia="仿宋_GB2312" w:cs="Times New Roman"/>
          <w:color w:val="auto"/>
          <w:sz w:val="32"/>
          <w:szCs w:val="48"/>
          <w:lang w:eastAsia="zh-CN"/>
        </w:rPr>
        <w:t>配建幼儿园装修标准按室内不低于</w:t>
      </w:r>
      <w:r>
        <w:rPr>
          <w:rFonts w:hint="default" w:ascii="Times New Roman" w:hAnsi="Times New Roman" w:eastAsia="仿宋_GB2312" w:cs="Times New Roman"/>
          <w:color w:val="auto"/>
          <w:sz w:val="32"/>
          <w:szCs w:val="48"/>
          <w:lang w:val="en-US" w:eastAsia="zh-CN"/>
        </w:rPr>
        <w:t>1600元/</w:t>
      </w:r>
      <w:r>
        <w:rPr>
          <w:rFonts w:hint="default" w:ascii="Times New Roman" w:hAnsi="Times New Roman" w:eastAsia="仿宋_GB2312" w:cs="Times New Roman"/>
          <w:color w:val="auto"/>
          <w:sz w:val="32"/>
          <w:szCs w:val="48"/>
          <w:lang w:eastAsia="zh-CN"/>
        </w:rPr>
        <w:t>平方米</w:t>
      </w:r>
      <w:r>
        <w:rPr>
          <w:rFonts w:hint="default" w:ascii="Times New Roman" w:hAnsi="Times New Roman" w:eastAsia="仿宋_GB2312" w:cs="Times New Roman"/>
          <w:color w:val="auto"/>
          <w:sz w:val="32"/>
          <w:szCs w:val="48"/>
          <w:lang w:val="en-US" w:eastAsia="zh-CN"/>
        </w:rPr>
        <w:t>、室外不低于1100元/平方米标准进行建设，且具体装修方案应与丰泽区教育局协商一致，经验收合格后再移交丰泽区教育局。</w:t>
      </w:r>
    </w:p>
    <w:p>
      <w:pPr>
        <w:widowControl/>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8.丰2024-27-1号地块在办理商品房预售许可（现售备案）时，优先安排10%的房源套数作为高层次人才房源，10%的房源套数作为中央活力区政策的配套房源。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9.丰2024-27-1号地块不设住宅最高销售限价，由竞得企业根据市场情况自主定价，销售价格接受主管部门指导、监督。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丰2024-27-1号地块的可销售房源应全部按程序办理预（现）售手续并向社会销售。严禁采取“以房抵债”、股东或特定群体垄断房源、办理自有产权等方式逃避销售，否则住建部门不予办理合同网签备案，产权登记部门不予办理产权。</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12.上述地块由非泉州市丰泽区的法人竞得的，须在泉州市丰泽区注册成立新公司，所有税收应在当地缴纳。</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按照《泉州市人民政府办公室关于印发泉州市2023年促进房地产市场平稳健康发展工作方案的通知》（泉政办〔2023〕11号）要求，上述地块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w:t>
      </w:r>
      <w:r>
        <w:rPr>
          <w:rFonts w:hint="default" w:ascii="Times New Roman" w:hAnsi="Times New Roman" w:eastAsia="仿宋_GB2312" w:cs="Times New Roman"/>
          <w:color w:val="auto"/>
          <w:sz w:val="32"/>
          <w:szCs w:val="32"/>
          <w:lang w:eastAsia="zh-CN"/>
        </w:rPr>
        <w:t>根据《泉州市人民政府办公室关于印发泉州市电动自行车安全隐患全链条整治行动实施方案的通知》（泉政办</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）要求，严格新建居住项目规划审批管理，将电动自行车停放充电设施纳入项目配套。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.按照《泉州市住房和城乡建设局等三部门关于加快推动新型建筑工业化发展的通知》（泉建规〔2022〕3号）要求，上述地块的装配式建筑应占新建建筑面积40%以上。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eastAsia="仿宋_GB2312" w:cs="仿宋_GB2312"/>
          <w:color w:val="auto"/>
          <w:szCs w:val="32"/>
          <w:lang w:eastAsia="zh-CN"/>
        </w:rPr>
      </w:pPr>
      <w:r>
        <w:rPr>
          <w:rFonts w:hint="eastAsia" w:hAnsi="仿宋_GB2312" w:cs="仿宋_GB2312"/>
          <w:color w:val="auto"/>
          <w:szCs w:val="32"/>
          <w:lang w:val="en-US" w:eastAsia="zh-CN"/>
        </w:rPr>
        <w:t>丰2024-27-1号</w:t>
      </w:r>
      <w:r>
        <w:rPr>
          <w:rFonts w:hint="eastAsia" w:ascii="仿宋_GB2312" w:hAnsi="仿宋_GB2312" w:eastAsia="仿宋_GB2312" w:cs="仿宋_GB2312"/>
          <w:color w:val="auto"/>
          <w:szCs w:val="32"/>
        </w:rPr>
        <w:t>地块的竞买保证金为人民币（大写）</w:t>
      </w:r>
      <w:r>
        <w:rPr>
          <w:rFonts w:hint="eastAsia" w:hAnsi="仿宋_GB2312" w:cs="仿宋_GB2312"/>
          <w:color w:val="auto"/>
          <w:szCs w:val="32"/>
          <w:lang w:eastAsia="zh-CN"/>
        </w:rPr>
        <w:t>壹亿捌仟万元</w:t>
      </w:r>
      <w:r>
        <w:rPr>
          <w:rFonts w:hint="eastAsia" w:ascii="仿宋_GB2312" w:hAnsi="仿宋_GB2312" w:eastAsia="仿宋_GB2312" w:cs="仿宋_GB2312"/>
          <w:color w:val="auto"/>
          <w:szCs w:val="32"/>
        </w:rPr>
        <w:t>整（</w:t>
      </w:r>
      <w:r>
        <w:rPr>
          <w:rFonts w:hint="eastAsia" w:hAnsi="仿宋_GB2312" w:cs="仿宋_GB2312"/>
          <w:color w:val="auto"/>
          <w:szCs w:val="32"/>
          <w:lang w:val="en-US" w:eastAsia="zh-CN"/>
        </w:rPr>
        <w:t>¥180</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00,000.00</w:t>
      </w:r>
      <w:r>
        <w:rPr>
          <w:rFonts w:hint="eastAsia" w:ascii="仿宋_GB2312" w:hAnsi="仿宋_GB2312" w:eastAsia="仿宋_GB2312" w:cs="仿宋_GB2312"/>
          <w:color w:val="auto"/>
          <w:szCs w:val="32"/>
        </w:rPr>
        <w:t>）</w:t>
      </w:r>
      <w:r>
        <w:rPr>
          <w:rFonts w:hint="eastAsia" w:hAnsi="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eastAsia="zh-CN"/>
        </w:rPr>
      </w:pPr>
      <w:r>
        <w:rPr>
          <w:rFonts w:hint="eastAsia" w:hAnsi="仿宋_GB2312" w:cs="仿宋_GB2312"/>
          <w:color w:val="auto"/>
          <w:szCs w:val="32"/>
          <w:lang w:val="en-US" w:eastAsia="zh-CN"/>
        </w:rPr>
        <w:t>丰2023-23号</w:t>
      </w:r>
      <w:r>
        <w:rPr>
          <w:rFonts w:hint="eastAsia" w:ascii="仿宋_GB2312" w:hAnsi="仿宋_GB2312" w:eastAsia="仿宋_GB2312" w:cs="仿宋_GB2312"/>
          <w:color w:val="auto"/>
          <w:szCs w:val="32"/>
        </w:rPr>
        <w:t>地块的竞买保证金为人民币（大写）</w:t>
      </w:r>
      <w:r>
        <w:rPr>
          <w:rFonts w:hint="eastAsia" w:hAnsi="仿宋_GB2312" w:cs="仿宋_GB2312"/>
          <w:color w:val="auto"/>
          <w:szCs w:val="32"/>
          <w:lang w:eastAsia="zh-CN"/>
        </w:rPr>
        <w:t>贰仟捌佰万元</w:t>
      </w:r>
      <w:r>
        <w:rPr>
          <w:rFonts w:hint="eastAsia" w:ascii="仿宋_GB2312" w:hAnsi="仿宋_GB2312" w:eastAsia="仿宋_GB2312" w:cs="仿宋_GB2312"/>
          <w:color w:val="auto"/>
          <w:szCs w:val="32"/>
        </w:rPr>
        <w:t>整（</w:t>
      </w:r>
      <w:r>
        <w:rPr>
          <w:rFonts w:hint="eastAsia" w:hAnsi="仿宋_GB2312" w:cs="仿宋_GB2312"/>
          <w:color w:val="auto"/>
          <w:szCs w:val="32"/>
          <w:lang w:val="en-US" w:eastAsia="zh-CN"/>
        </w:rPr>
        <w:t>¥28</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00,000.00</w:t>
      </w:r>
      <w:r>
        <w:rPr>
          <w:rFonts w:hint="eastAsia" w:ascii="仿宋_GB2312" w:hAnsi="仿宋_GB2312" w:eastAsia="仿宋_GB2312" w:cs="仿宋_GB2312"/>
          <w:color w:val="auto"/>
          <w:szCs w:val="32"/>
        </w:rPr>
        <w:t>）</w:t>
      </w:r>
      <w:r>
        <w:rPr>
          <w:rFonts w:hint="eastAsia" w:hAnsi="仿宋_GB2312" w:cs="仿宋_GB2312"/>
          <w:color w:val="auto"/>
          <w:szCs w:val="3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25</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12</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《住宅用地竞买保证金、成交价款来源情况申报表》</w:t>
      </w:r>
    </w:p>
    <w:p>
      <w:pPr>
        <w:spacing w:line="520" w:lineRule="exact"/>
        <w:ind w:firstLine="640" w:firstLineChars="200"/>
        <w:rPr>
          <w:rFonts w:hint="default" w:ascii="仿宋_GB2312" w:hAnsi="仿宋_GB2312" w:eastAsia="仿宋_GB2312" w:cs="仿宋_GB2312"/>
          <w:color w:val="FF0000"/>
          <w:szCs w:val="32"/>
          <w:lang w:val="en-US" w:eastAsia="zh-CN"/>
        </w:rPr>
      </w:pPr>
      <w:r>
        <w:rPr>
          <w:rFonts w:hint="eastAsia" w:ascii="仿宋_GB2312" w:hAnsi="仿宋_GB2312" w:eastAsia="仿宋_GB2312" w:cs="仿宋_GB2312"/>
          <w:color w:val="auto"/>
          <w:szCs w:val="32"/>
          <w:lang w:val="en-US" w:eastAsia="zh-CN"/>
        </w:rPr>
        <w:t>13.</w:t>
      </w:r>
      <w:r>
        <w:rPr>
          <w:rFonts w:hint="eastAsia" w:hAnsi="仿宋_GB2312" w:cs="仿宋_GB2312"/>
          <w:color w:val="auto"/>
          <w:szCs w:val="32"/>
          <w:lang w:val="en-US" w:eastAsia="zh-CN"/>
        </w:rPr>
        <w:t>丰2023-23号地块安置房回购协议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1．法人申请的，应提交下列文件：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（3）《住宅用地竞买保证金、成交价款来源情况申报表》；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（4）法人单位有效证明文件；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（6）竞买人委托他人办理的，应提交授权委托书及委托代理人的有效身份证明文件；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2．其他组织申请的，应提交下列文件：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（3）《住宅用地竞买保证金、成交价款来源情况申报表》；</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（4）表明该组织合法存在的文件或有效证明；</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（5）表明该组织负责人身份的有效证明文件；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（6）申请人委托他人办理的，应提交授权委托书及委托代理人的身份证明文件；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3．境外申请人申请的，应提交下列文件：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（3）《住宅用地竞买保证金、成交价款来源情况申报表》；</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（4）境外法人、自然人、其他组织的有效身份证明文件；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（5）申请人委托他人办理的，应提交经公证的授权委托书及委托代理人的有效身份证明文件；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26</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hAnsi="仿宋_GB2312" w:cs="仿宋_GB2312"/>
          <w:color w:val="auto"/>
          <w:szCs w:val="32"/>
          <w:lang w:eastAsia="zh-CN"/>
        </w:rPr>
      </w:pPr>
      <w:r>
        <w:rPr>
          <w:rFonts w:hint="eastAsia" w:hAnsi="仿宋_GB2312" w:cs="仿宋_GB2312"/>
          <w:color w:val="auto"/>
          <w:szCs w:val="32"/>
          <w:lang w:val="en-US" w:eastAsia="zh-CN"/>
        </w:rPr>
        <w:t>丰2024-27-1</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玖亿</w:t>
      </w:r>
      <w:r>
        <w:rPr>
          <w:rFonts w:hint="eastAsia" w:ascii="仿宋_GB2312" w:hAnsi="仿宋_GB2312" w:eastAsia="仿宋_GB2312" w:cs="仿宋_GB2312"/>
          <w:color w:val="auto"/>
          <w:szCs w:val="32"/>
        </w:rPr>
        <w:t>元整（</w:t>
      </w:r>
      <w:r>
        <w:rPr>
          <w:rFonts w:hint="eastAsia" w:hAnsi="仿宋_GB2312" w:cs="仿宋_GB2312"/>
          <w:color w:val="auto"/>
          <w:szCs w:val="32"/>
          <w:lang w:val="en-US" w:eastAsia="zh-CN"/>
        </w:rPr>
        <w:t>¥900</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肆</w:t>
      </w:r>
      <w:r>
        <w:rPr>
          <w:rFonts w:hint="eastAsia" w:ascii="仿宋_GB2312" w:hAnsi="仿宋_GB2312" w:eastAsia="仿宋_GB2312" w:cs="仿宋_GB2312"/>
          <w:color w:val="auto"/>
          <w:szCs w:val="32"/>
        </w:rPr>
        <w:t>佰万元整（</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,000,000.00）或</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00万元整数倍金额</w:t>
      </w:r>
      <w:r>
        <w:rPr>
          <w:rFonts w:hint="eastAsia" w:hAnsi="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lang w:eastAsia="zh-CN"/>
        </w:rPr>
      </w:pPr>
      <w:r>
        <w:rPr>
          <w:rFonts w:hint="eastAsia" w:hAnsi="仿宋_GB2312" w:cs="仿宋_GB2312"/>
          <w:color w:val="auto"/>
          <w:szCs w:val="32"/>
          <w:lang w:val="en-US" w:eastAsia="zh-CN"/>
        </w:rPr>
        <w:t>丰2023-23</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壹亿叁仟柒佰万</w:t>
      </w:r>
      <w:r>
        <w:rPr>
          <w:rFonts w:hint="eastAsia" w:ascii="仿宋_GB2312" w:hAnsi="仿宋_GB2312" w:eastAsia="仿宋_GB2312" w:cs="仿宋_GB2312"/>
          <w:color w:val="auto"/>
          <w:szCs w:val="32"/>
        </w:rPr>
        <w:t>元整（</w:t>
      </w:r>
      <w:r>
        <w:rPr>
          <w:rFonts w:hint="eastAsia" w:hAnsi="仿宋_GB2312" w:cs="仿宋_GB2312"/>
          <w:color w:val="auto"/>
          <w:szCs w:val="32"/>
          <w:lang w:val="en-US" w:eastAsia="zh-CN"/>
        </w:rPr>
        <w:t>¥137</w:t>
      </w: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伍拾万</w:t>
      </w:r>
      <w:r>
        <w:rPr>
          <w:rFonts w:hint="eastAsia" w:ascii="仿宋_GB2312" w:hAnsi="仿宋_GB2312" w:eastAsia="仿宋_GB2312" w:cs="仿宋_GB2312"/>
          <w:color w:val="auto"/>
          <w:szCs w:val="32"/>
        </w:rPr>
        <w:t>元整（</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5</w:t>
      </w:r>
      <w:r>
        <w:rPr>
          <w:rFonts w:hint="eastAsia" w:ascii="仿宋_GB2312" w:hAnsi="仿宋_GB2312" w:eastAsia="仿宋_GB2312" w:cs="仿宋_GB2312"/>
          <w:color w:val="auto"/>
          <w:szCs w:val="32"/>
        </w:rPr>
        <w:t>0万元整数倍金额。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11</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20" w:lineRule="exact"/>
        <w:ind w:firstLine="640" w:firstLineChars="200"/>
        <w:rPr>
          <w:rFonts w:hint="eastAsia" w:ascii="仿宋_GB2312" w:hAnsi="仿宋_GB2312" w:eastAsia="仿宋_GB2312" w:cs="仿宋_GB2312"/>
          <w:color w:val="auto"/>
          <w:kern w:val="10"/>
          <w:szCs w:val="32"/>
          <w:lang w:eastAsia="zh-CN"/>
        </w:rPr>
      </w:pPr>
      <w:r>
        <w:rPr>
          <w:rFonts w:hint="eastAsia" w:ascii="仿宋_GB2312" w:hAnsi="仿宋_GB2312" w:eastAsia="仿宋_GB2312" w:cs="仿宋_GB2312"/>
          <w:color w:val="auto"/>
          <w:kern w:val="10"/>
          <w:szCs w:val="32"/>
        </w:rPr>
        <w:t>上述地块竞得人自竞得之日起30日内应缴交成交价总额50%的成交价款（竞买保证金转作受让地块的定金，抵作土地出让价款），其中丰2024-27-1号地块余款自竞得之日起5个月内交清，丰2023-23号地块余款自竞得之日起3个月内交清。</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竞得人未能按照合同约定日期或同意延建所另行约定日期开工建设或竣工的，每延期</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日，应向出让人支付相当于成交价款总额1‰的违约金。</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hint="eastAsia" w:ascii="仿宋_GB2312" w:hAnsi="仿宋_GB2312" w:eastAsia="仿宋_GB2312" w:cs="仿宋_GB2312"/>
          <w:color w:val="auto"/>
          <w:szCs w:val="32"/>
        </w:rPr>
        <w:t>竞买人</w:t>
      </w:r>
      <w:bookmarkEnd w:id="0"/>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1" w:name="OLE_LINK2"/>
      <w:r>
        <w:rPr>
          <w:rFonts w:hint="eastAsia" w:ascii="仿宋_GB2312" w:hAnsi="仿宋_GB2312" w:eastAsia="仿宋_GB2312" w:cs="仿宋_GB2312"/>
          <w:color w:val="auto"/>
          <w:szCs w:val="32"/>
        </w:rPr>
        <w:t>．</w:t>
      </w:r>
      <w:bookmarkEnd w:id="1"/>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color w:val="auto"/>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21</w:t>
      </w:r>
      <w:bookmarkStart w:id="2" w:name="_GoBack"/>
      <w:bookmarkEnd w:id="2"/>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5BE6923"/>
    <w:rsid w:val="75DE796D"/>
    <w:rsid w:val="761B3A3C"/>
    <w:rsid w:val="772C6592"/>
    <w:rsid w:val="7BF7CC0B"/>
    <w:rsid w:val="7BFD8D70"/>
    <w:rsid w:val="7C614DBC"/>
    <w:rsid w:val="7CED3003"/>
    <w:rsid w:val="7CFE5411"/>
    <w:rsid w:val="7DC16531"/>
    <w:rsid w:val="7DFD2408"/>
    <w:rsid w:val="7F3C7C26"/>
    <w:rsid w:val="7FAFA16A"/>
    <w:rsid w:val="ADAD7FA1"/>
    <w:rsid w:val="AFFF219C"/>
    <w:rsid w:val="B6F5B665"/>
    <w:rsid w:val="B7DB20F6"/>
    <w:rsid w:val="BD3B2D74"/>
    <w:rsid w:val="BEE466A8"/>
    <w:rsid w:val="C77BCFBB"/>
    <w:rsid w:val="CDDBF24C"/>
    <w:rsid w:val="D7BBABC2"/>
    <w:rsid w:val="DD7C8DA1"/>
    <w:rsid w:val="EF9DD4E3"/>
    <w:rsid w:val="F33752BE"/>
    <w:rsid w:val="F9D441FD"/>
    <w:rsid w:val="FA7E782C"/>
    <w:rsid w:val="FAFE31B2"/>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0"/>
    <w:pPr>
      <w:spacing w:beforeAutospacing="1" w:afterAutospacing="1"/>
      <w:jc w:val="left"/>
    </w:pPr>
    <w:rPr>
      <w:sz w:val="24"/>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15</Pages>
  <Words>5718</Words>
  <Characters>6055</Characters>
  <Lines>45</Lines>
  <Paragraphs>12</Paragraphs>
  <TotalTime>1</TotalTime>
  <ScaleCrop>false</ScaleCrop>
  <LinksUpToDate>false</LinksUpToDate>
  <CharactersWithSpaces>6059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2019-12-16T15:04:00Z</dcterms:created>
  <dc:creator>未羽</dc:creator>
  <cp:lastModifiedBy>市资源规划局</cp:lastModifiedBy>
  <cp:lastPrinted>2021-12-05T23:02:00Z</cp:lastPrinted>
  <dcterms:modified xsi:type="dcterms:W3CDTF">2025-06-20T15:49:41Z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