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lang w:eastAsia="zh-CN"/>
        </w:rPr>
        <w:t>丰</w:t>
      </w:r>
      <w:r>
        <w:rPr>
          <w:rFonts w:hint="default" w:ascii="Times New Roman" w:hAnsi="Times New Roman" w:eastAsia="方正小标宋简体" w:cs="Times New Roman"/>
          <w:bCs/>
          <w:color w:val="auto"/>
          <w:sz w:val="44"/>
          <w:szCs w:val="44"/>
          <w:lang w:val="en-US" w:eastAsia="zh-CN"/>
        </w:rPr>
        <w:t>2025-</w:t>
      </w:r>
      <w:r>
        <w:rPr>
          <w:rFonts w:hint="eastAsia" w:ascii="Times New Roman" w:eastAsia="方正小标宋简体" w:cs="Times New Roman"/>
          <w:bCs/>
          <w:color w:val="auto"/>
          <w:sz w:val="44"/>
          <w:szCs w:val="44"/>
          <w:lang w:val="en-US" w:eastAsia="zh-CN"/>
        </w:rPr>
        <w:t>1</w:t>
      </w:r>
      <w:r>
        <w:rPr>
          <w:rFonts w:hint="default" w:ascii="Times New Roman" w:hAnsi="Times New Roman" w:eastAsia="方正小标宋简体" w:cs="Times New Roman"/>
          <w:bCs/>
          <w:color w:val="auto"/>
          <w:sz w:val="44"/>
          <w:szCs w:val="44"/>
          <w:lang w:val="en-US" w:eastAsia="zh-CN"/>
        </w:rPr>
        <w:t>号等</w:t>
      </w:r>
      <w:r>
        <w:rPr>
          <w:rFonts w:hint="eastAsia" w:ascii="Times New Roman" w:eastAsia="方正小标宋简体" w:cs="Times New Roman"/>
          <w:bCs/>
          <w:color w:val="auto"/>
          <w:sz w:val="44"/>
          <w:szCs w:val="44"/>
          <w:lang w:val="en-US" w:eastAsia="zh-CN"/>
        </w:rPr>
        <w:t>3</w:t>
      </w:r>
      <w:r>
        <w:rPr>
          <w:rFonts w:hint="default" w:ascii="Times New Roman" w:hAnsi="Times New Roman" w:eastAsia="方正小标宋简体" w:cs="Times New Roman"/>
          <w:bCs/>
          <w:color w:val="auto"/>
          <w:sz w:val="44"/>
          <w:szCs w:val="44"/>
          <w:lang w:val="en-US" w:eastAsia="zh-CN"/>
        </w:rPr>
        <w:t>宗</w:t>
      </w:r>
      <w:r>
        <w:rPr>
          <w:rFonts w:hint="default" w:ascii="Times New Roman" w:hAnsi="Times New Roman" w:eastAsia="方正小标宋简体" w:cs="Times New Roman"/>
          <w:bCs/>
          <w:color w:val="auto"/>
          <w:sz w:val="44"/>
          <w:szCs w:val="44"/>
        </w:rPr>
        <w:t>地块国有</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建设用地使用权拍卖出让须知</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 w:cs="Times New Roman"/>
          <w:b/>
          <w:color w:val="auto"/>
          <w:szCs w:val="32"/>
        </w:rPr>
      </w:pP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以及《福建省国有土地使用权出让工作规范（试行）》等有关规定，经泉州市人民政府批准，泉州市自然资源和规划局决定以拍卖方式出让丰202</w:t>
      </w:r>
      <w:r>
        <w:rPr>
          <w:rFonts w:hint="default" w:ascii="Times New Roman" w:hAnsi="Times New Roman" w:cs="Times New Roman"/>
          <w:color w:val="auto"/>
          <w:szCs w:val="32"/>
          <w:lang w:val="en-US" w:eastAsia="zh-CN"/>
        </w:rPr>
        <w:t>5</w:t>
      </w:r>
      <w:r>
        <w:rPr>
          <w:rFonts w:hint="default" w:ascii="Times New Roman" w:hAnsi="Times New Roman" w:eastAsia="仿宋_GB2312" w:cs="Times New Roman"/>
          <w:color w:val="auto"/>
          <w:szCs w:val="32"/>
        </w:rPr>
        <w:t>-</w:t>
      </w:r>
      <w:r>
        <w:rPr>
          <w:rFonts w:hint="eastAsia" w:ascii="Times New Roman" w:cs="Times New Roman"/>
          <w:color w:val="auto"/>
          <w:szCs w:val="32"/>
          <w:lang w:val="en-US" w:eastAsia="zh-CN"/>
        </w:rPr>
        <w:t>1</w:t>
      </w:r>
      <w:r>
        <w:rPr>
          <w:rFonts w:hint="default" w:ascii="Times New Roman" w:hAnsi="Times New Roman" w:eastAsia="仿宋_GB2312" w:cs="Times New Roman"/>
          <w:color w:val="auto"/>
          <w:szCs w:val="32"/>
        </w:rPr>
        <w:t>号</w:t>
      </w:r>
      <w:r>
        <w:rPr>
          <w:rFonts w:hint="default" w:ascii="Times New Roman" w:hAnsi="Times New Roman" w:cs="Times New Roman"/>
          <w:color w:val="auto"/>
          <w:szCs w:val="32"/>
          <w:lang w:eastAsia="zh-CN"/>
        </w:rPr>
        <w:t>等</w:t>
      </w:r>
      <w:r>
        <w:rPr>
          <w:rFonts w:hint="eastAsia" w:ascii="Times New Roman" w:cs="Times New Roman"/>
          <w:color w:val="auto"/>
          <w:szCs w:val="32"/>
          <w:lang w:val="en-US" w:eastAsia="zh-CN"/>
        </w:rPr>
        <w:t>3</w:t>
      </w:r>
      <w:r>
        <w:rPr>
          <w:rFonts w:hint="default" w:ascii="Times New Roman" w:hAnsi="Times New Roman" w:cs="Times New Roman"/>
          <w:color w:val="auto"/>
          <w:szCs w:val="32"/>
          <w:lang w:val="en-US" w:eastAsia="zh-CN"/>
        </w:rPr>
        <w:t>宗地块</w:t>
      </w:r>
      <w:r>
        <w:rPr>
          <w:rFonts w:hint="default" w:ascii="Times New Roman" w:hAnsi="Times New Roman" w:eastAsia="仿宋_GB2312" w:cs="Times New Roman"/>
          <w:color w:val="auto"/>
          <w:szCs w:val="32"/>
        </w:rPr>
        <w:t>国有建设用地使用权。</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本次国有建设用地使用权采取拍卖出让，出让人为泉州市自然资源和规划局，拍卖文件由我局制定并负责解释，具体组织实施由我局委托泉州市产权交易中心有限公司承办，泉州市产权交易中心有限公司具体负责竞买人的报名、资格审查、组织现场竞价及竞得人的确认。拍卖出让过程委托公证机构进行公证。泉州市产权交易中心有限公司指定的从事拍卖活动的人员为拍卖工作人员。</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二、拍卖出让活动时间、地点</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拍卖时间：202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ascii="Times New Roman" w:cs="Times New Roman"/>
          <w:color w:val="auto"/>
          <w:sz w:val="32"/>
          <w:szCs w:val="32"/>
          <w:lang w:val="en-US" w:eastAsia="zh-CN"/>
        </w:rPr>
        <w:t>8</w:t>
      </w:r>
      <w:r>
        <w:rPr>
          <w:rFonts w:hint="default" w:ascii="Times New Roman" w:hAnsi="Times New Roman" w:eastAsia="仿宋_GB2312" w:cs="Times New Roman"/>
          <w:color w:val="auto"/>
          <w:sz w:val="32"/>
          <w:szCs w:val="32"/>
        </w:rPr>
        <w:t>月</w:t>
      </w:r>
      <w:r>
        <w:rPr>
          <w:rFonts w:hint="eastAsia" w:ascii="Times New Roman" w:cs="Times New Roman"/>
          <w:color w:val="auto"/>
          <w:sz w:val="32"/>
          <w:szCs w:val="32"/>
          <w:lang w:val="en-US" w:eastAsia="zh-CN"/>
        </w:rPr>
        <w:t>26</w:t>
      </w:r>
      <w:r>
        <w:rPr>
          <w:rFonts w:hint="default" w:ascii="Times New Roman" w:hAnsi="Times New Roman" w:eastAsia="仿宋_GB2312" w:cs="Times New Roman"/>
          <w:color w:val="auto"/>
          <w:sz w:val="32"/>
          <w:szCs w:val="32"/>
        </w:rPr>
        <w:t>日9：00。</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拍卖地点：泉州市政务服务中心（东海大厦）A幢442室（地址：泉州市丰泽区海星街100号）。</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三、本次国有建设用地使用权拍卖出让按照价高者得的原则确定竞得人，不设保留价。</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四、出让地块的基本情况、规划指标和相关要求：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（一）地块的基本情况</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sz w:val="32"/>
          <w:szCs w:val="32"/>
          <w:lang w:val="en-US" w:eastAsia="zh-CN"/>
        </w:rPr>
        <w:t>1.丰2025-1号地块。</w:t>
      </w:r>
      <w:r>
        <w:rPr>
          <w:rFonts w:hint="default" w:ascii="Times New Roman" w:hAnsi="Times New Roman" w:eastAsia="仿宋_GB2312" w:cs="Times New Roman"/>
          <w:b w:val="0"/>
          <w:bCs/>
          <w:sz w:val="32"/>
          <w:szCs w:val="32"/>
          <w:lang w:val="en-US" w:eastAsia="zh-CN"/>
        </w:rPr>
        <w:t>该宗地即2024-42号储备用地，位于丰泽区城东片区，同兴街北侧，兴学路东南侧、东前街南侧、迎晖路西侧，用地面积24261.4平方米（约合36.4亩）。规划用途为城镇住宅用地。主要技术指标为：容积率2.9以下1.0以上，建筑密度20%以下，绿地率30%以上，建筑高度80米以下。主要建设内容为住宅及其配套设施。</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lang w:val="en-US"/>
        </w:rPr>
      </w:pPr>
      <w:r>
        <w:rPr>
          <w:rFonts w:hint="default" w:ascii="Times New Roman" w:hAnsi="Times New Roman" w:eastAsia="楷体_GB2312" w:cs="Times New Roman"/>
          <w:b/>
          <w:sz w:val="32"/>
          <w:szCs w:val="32"/>
          <w:lang w:val="en-US" w:eastAsia="zh-CN"/>
        </w:rPr>
        <w:t>2.丰2025-10号地块。</w:t>
      </w:r>
      <w:r>
        <w:rPr>
          <w:rFonts w:hint="default" w:ascii="Times New Roman" w:hAnsi="Times New Roman" w:eastAsia="仿宋_GB2312" w:cs="Times New Roman"/>
          <w:b w:val="0"/>
          <w:bCs/>
          <w:sz w:val="32"/>
          <w:szCs w:val="32"/>
          <w:lang w:val="en-US" w:eastAsia="zh-CN"/>
        </w:rPr>
        <w:t>该宗地即2023-61号储备用地，位于丰泽区城东片区规划60号路北侧，老君大道西南侧，用地面积31023平方米（约合46.5亩）。规划用途为城镇住宅用地。主要技术指标为：容积率1.3以下1.0以上，建筑密度23%以下，绿地率30%以上，建筑高度30米以下。主要建设内容为住宅及其配套设施。</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eastAsia="仿宋_GB2312" w:cs="Times New Roman"/>
          <w:b w:val="0"/>
          <w:bCs/>
          <w:color w:val="auto"/>
          <w:sz w:val="32"/>
          <w:szCs w:val="32"/>
          <w:lang w:val="en-US"/>
        </w:rPr>
      </w:pPr>
      <w:r>
        <w:rPr>
          <w:rFonts w:hint="default" w:ascii="Times New Roman" w:hAnsi="Times New Roman" w:eastAsia="楷体_GB2312" w:cs="Times New Roman"/>
          <w:b/>
          <w:sz w:val="32"/>
          <w:szCs w:val="32"/>
          <w:lang w:val="en-US" w:eastAsia="zh-CN"/>
        </w:rPr>
        <w:t>3.濛2024-3号地块。</w:t>
      </w:r>
      <w:r>
        <w:rPr>
          <w:rFonts w:hint="default" w:ascii="Times New Roman" w:hAnsi="Times New Roman" w:eastAsia="仿宋_GB2312" w:cs="Times New Roman"/>
          <w:b w:val="0"/>
          <w:bCs/>
          <w:sz w:val="32"/>
          <w:szCs w:val="32"/>
          <w:lang w:val="en-US" w:eastAsia="zh-CN"/>
        </w:rPr>
        <w:t>该宗地即2024-41号储备用地，该宗地位于泉州经济技术开发区清濛园区政泰路以北、南山公园以南。用地面积为6047.87平方米（约合9.07亩）。规划用途：商务金融用地。主要技术指标：容积1.8以下，建筑密度35%以下，绿地率30%以上，建筑高度24米以下。建设内容为写字楼、商业性办公场所。</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（二）规划指标和相关要求</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1.丰2025-1号、丰2025-10号地块竞买申请人须具有房地产开发资质。</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2.丰2025-1号地块竞得人须按有关规范要求配套建设相应的公共配套服务设施，包括：社区管理服务用房、社区医疗服务站、居家养老服务站等设施[具体规划要求详见《泉州市自然资源和规划局关于下达</w:t>
      </w:r>
      <w:r>
        <w:rPr>
          <w:rFonts w:hint="eastAsia" w:ascii="Times New Roman" w:cs="Times New Roman"/>
          <w:color w:val="auto"/>
          <w:szCs w:val="32"/>
          <w:lang w:val="en-US" w:eastAsia="zh-CN"/>
        </w:rPr>
        <w:t>2024-42</w:t>
      </w:r>
      <w:r>
        <w:rPr>
          <w:rFonts w:hint="default" w:ascii="Times New Roman" w:hAnsi="Times New Roman" w:eastAsia="仿宋_GB2312" w:cs="Times New Roman"/>
          <w:color w:val="auto"/>
          <w:szCs w:val="32"/>
        </w:rPr>
        <w:t>号储备用地规划条件的通知》（泉资规〔2025〕148号）]，且上述公共配套服务设施应相对集中布置在交通便利、方便群众使用的地方，与项目主体建筑同时设计、同时建设，否则住建部门不予核发预售证，建成后无偿将产权、使用权移交给政府指定的有权机构。</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3.丰2025-10号地块竞得人须按有关规范要求配套建设相应的公共配套服务设施，包括：社区医疗服务站、居家养老服务站等设施[具体规划要求详见《泉州市自然资源和规划局关于下达</w:t>
      </w:r>
      <w:r>
        <w:rPr>
          <w:rFonts w:hint="eastAsia" w:ascii="Times New Roman" w:cs="Times New Roman"/>
          <w:color w:val="auto"/>
          <w:szCs w:val="32"/>
          <w:lang w:val="en-US" w:eastAsia="zh-CN"/>
        </w:rPr>
        <w:t>2023-61</w:t>
      </w:r>
      <w:r>
        <w:rPr>
          <w:rFonts w:hint="default" w:ascii="Times New Roman" w:hAnsi="Times New Roman" w:eastAsia="仿宋_GB2312" w:cs="Times New Roman"/>
          <w:color w:val="auto"/>
          <w:szCs w:val="32"/>
        </w:rPr>
        <w:t>号储备用地规划条件的通知》（泉资规〔2025〕177号）]，且上述公共配套服务设施应相对集中布置在交通便利、方便群众使用的地方，与项目主体建筑同时设计、同时建设，否则住建部门不予核发预售证，建成后无偿将产权、使用权移交给政府指定的有权机构。</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丰2025-1号地块相邻北侧已建设有泉州市第二实验小学城东北校区，西南侧600米内已建设有泉州市第五中学城东校区。关于学区划分事宜，需待当年度片区摸底生源数，并结合新建学校投用情况后确定，具体以当年度泉州市和丰泽区的招生政策为准。</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丰2025-10号地块相邻东南侧规划建设有泉州市第九中学城东校区，东南侧约100米已规划建设有泉州市丰泽区东星实验小学。关于学区划分事宜，需待当年度片区摸底生源数，并结合新建学校投用情况后确定，具体以当年度泉州市和丰泽区的招生政策为准。</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6.丰2025-1号、丰2025-10号地块在办理商品房预售许可（现售备案）时，优先安排10%的房源套数作为高层次人才房源。</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7.丰2025-1号、丰2025-10号地块不设住宅最高销售限价，由竞得企业根据市场情况自主定价，销售价格接受主管部门指导、监督。</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8.濛2024-3号地块商务金融建筑应整体经营，不可分割销售、不可分割转让。</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9.濛2024-3号地块竞得</w:t>
      </w:r>
      <w:r>
        <w:rPr>
          <w:rFonts w:hint="eastAsia" w:ascii="Times New Roman" w:cs="Times New Roman"/>
          <w:color w:val="auto"/>
          <w:szCs w:val="32"/>
          <w:lang w:eastAsia="zh-CN"/>
        </w:rPr>
        <w:t>人</w:t>
      </w:r>
      <w:r>
        <w:rPr>
          <w:rFonts w:hint="default" w:ascii="Times New Roman" w:hAnsi="Times New Roman" w:eastAsia="仿宋_GB2312" w:cs="Times New Roman"/>
          <w:color w:val="auto"/>
          <w:szCs w:val="32"/>
        </w:rPr>
        <w:t>应在与我局签订《国有建设用地使用权出让合同》之日起5个工作日，与泉州经济技术开发区</w:t>
      </w:r>
      <w:r>
        <w:rPr>
          <w:rFonts w:hint="eastAsia" w:ascii="Times New Roman" w:cs="Times New Roman"/>
          <w:color w:val="auto"/>
          <w:szCs w:val="32"/>
          <w:lang w:eastAsia="zh-CN"/>
        </w:rPr>
        <w:t>管理委员会</w:t>
      </w:r>
      <w:bookmarkStart w:id="2" w:name="_GoBack"/>
      <w:bookmarkEnd w:id="2"/>
      <w:r>
        <w:rPr>
          <w:rFonts w:hint="default" w:ascii="Times New Roman" w:hAnsi="Times New Roman" w:eastAsia="仿宋_GB2312" w:cs="Times New Roman"/>
          <w:color w:val="auto"/>
          <w:szCs w:val="32"/>
        </w:rPr>
        <w:t>签订地块纳税监管协议。</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10.丰2025-1号、丰2025-10号地块的可销售房源应全部按程序办理预（现）售手续并向社会销售。严禁采取“以房抵债”、股东或特定群体垄断房源、办理自有产权等方式逃避销售，否则住建部门不予办理合同网签备案，产权登记部门不予办理产权。</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11.丰2025-1号、丰2025-10号地块竞买人提交竞买申请书时应同时提交竞买保证金，以及如竞得该地块，所缴纳的土地出让金均属于自有资金且不属于股东违规提供的借款、转贷、担保或其他融资便利，不是直接或间接使用金融机构各类融资资金，不是使用房地产产业链上下游关联企业借款或预付款，不是使用其他自然人、法人、非法人组织的借款，不是使用参与竞买企业控制的非房地产企业融资等事项的承诺书及《商品住宅用地竞买保证金/成交价款来源情况申报表》，并主动配合出让人及组织方进行资金审查。若竞买人资金来源未通过审查的，同意出让人或组织方取消竞买资格，已交纳的竞买保证金不予退还；若竞买人已签订《国有建设用地使用权出让合同》，则《国有建设用地使用权出让合同》一并解除，已缴纳的土地出让价款不予退还。</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12.丰2025-1号、丰2025-10号地块由非泉州市丰泽区的法人竞得的，须在泉州市丰泽区注册成立新公司，所有税收应在当地缴纳。</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13.丰2025-1号、丰2025-10号地块应按照《泉州市人民政府办公室关于印发泉州市2023年促进房地产市场平稳健康发展工作方案的通知》（泉政办〔2023〕11号）要求，充电桩车位配建比例不低于50%。按照《泉州市住房和城乡建设局等4部门关于规范住宅小区电动汽车充电设施建设管理的通知》（泉建规〔2023〕3号）要求，严格落实新建住宅小区固定车位100%建设充电设施或预留安装条件，预留安装条件时需将管线（含低压电缆、电缆分支箱、计量表箱）和桥架等供电设施建设到车位，以满足直接装表接电需求。根据《泉州市人民政府办公室关于印发泉州市电动自行车安全隐患全链条整治行动实施方案的通知》（泉政办〔2024〕17号）要求，严格新建居住项目规划审批管理，将电动自行车停放充电设施纳入项目配套。</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14.按照《泉州市住房和城乡建设局等三部门关于加快推动新型建筑工业化发展的通知》（泉建规〔2022〕3号）要求，丰2025-1号、丰2025-10号地块的装配式建筑应占新建建筑面积40%以上。</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15.按照《泉州市人民政府关于印发泉州市促进房地产市场持续健康稳定发展若干意见（2018—2025年）的通知》（泉政文〔2018〕87号）要求，丰2025-1号、丰2025-10号地块的建筑单体质量要求达到泉州市优质工程及以上。</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16.按照《泉州市人民政府办公室转发泉州市住房和城乡建设局 泉州市自然资源和规划局关于加强新建商品住宅及商办类建筑建设管理的通知》（泉政办明传〔2021〕75号）要求，丰2025-1号、丰2025-10号地块开发建设应符合《新建商品住宅建设品质提升事项》。</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五、竞买人资格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中华人民共和国境内外的法人和其他组织，符合竞买申请人条件的，除欠缴土地出让金者、已在本市取得合法土地未按规定开发建设者，列入福建省恶意逃废债务失信行为人“黑名单”的企业、全国法院失信被执行人（包括法人或其他组织）以及法律法规另有规定外，均可申请参加竞买。竞买申请人应当单独申请，同一企业及其控股的各个公司，不得参与同一宗地的竞买。濛2024-3号地块竞买申请人提交竞买申请书时，应同时提交竞买保证金，同时提交竞买保证金属于自有资金，不属于银行贷款、股东借款、民间借款、转贷和募集资金的承诺书及商业金融机构的资信证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交纳竞买保证金的截止时间为202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8</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25</w:t>
      </w:r>
      <w:r>
        <w:rPr>
          <w:rFonts w:hint="default" w:ascii="Times New Roman" w:hAnsi="Times New Roman" w:eastAsia="仿宋_GB2312" w:cs="Times New Roman"/>
          <w:color w:val="auto"/>
          <w:szCs w:val="32"/>
        </w:rPr>
        <w:t>日17时前（以到账时间为准）。竞买保证金账号在竞买人索取出让文件时，由泉州市产权交易中心有限公司另行发放。竞买人须在报名前将竞买保证金汇达泉州市产权交易中心有限公司指定的账户。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lang w:eastAsia="zh-CN"/>
        </w:rPr>
      </w:pPr>
      <w:r>
        <w:rPr>
          <w:rFonts w:hint="default" w:ascii="Times New Roman" w:hAnsi="Times New Roman" w:cs="Times New Roman"/>
          <w:color w:val="auto"/>
          <w:szCs w:val="32"/>
          <w:lang w:val="en-US" w:eastAsia="zh-CN"/>
        </w:rPr>
        <w:t>丰2025-</w:t>
      </w:r>
      <w:r>
        <w:rPr>
          <w:rFonts w:hint="eastAsia" w:ascii="Times New Roman" w:cs="Times New Roman"/>
          <w:color w:val="auto"/>
          <w:szCs w:val="32"/>
          <w:lang w:val="en-US" w:eastAsia="zh-CN"/>
        </w:rPr>
        <w:t>1</w:t>
      </w:r>
      <w:r>
        <w:rPr>
          <w:rFonts w:hint="default" w:ascii="Times New Roman" w:hAnsi="Times New Roman" w:cs="Times New Roman"/>
          <w:color w:val="auto"/>
          <w:szCs w:val="32"/>
          <w:lang w:val="en-US" w:eastAsia="zh-CN"/>
        </w:rPr>
        <w:t>号</w:t>
      </w:r>
      <w:r>
        <w:rPr>
          <w:rFonts w:hint="default" w:ascii="Times New Roman" w:hAnsi="Times New Roman" w:eastAsia="仿宋_GB2312" w:cs="Times New Roman"/>
          <w:color w:val="auto"/>
          <w:szCs w:val="32"/>
        </w:rPr>
        <w:t>地块的竞买保证金为人民币（大写）</w:t>
      </w:r>
      <w:r>
        <w:rPr>
          <w:rFonts w:hint="eastAsia" w:ascii="Times New Roman" w:cs="Times New Roman"/>
          <w:color w:val="auto"/>
          <w:szCs w:val="32"/>
          <w:lang w:eastAsia="zh-CN"/>
        </w:rPr>
        <w:t>伍亿</w:t>
      </w:r>
      <w:r>
        <w:rPr>
          <w:rFonts w:hint="default" w:ascii="Times New Roman" w:hAnsi="Times New Roman" w:cs="Times New Roman"/>
          <w:color w:val="auto"/>
          <w:szCs w:val="32"/>
          <w:lang w:eastAsia="zh-CN"/>
        </w:rPr>
        <w:t>元</w:t>
      </w:r>
      <w:r>
        <w:rPr>
          <w:rFonts w:hint="default" w:ascii="Times New Roman" w:hAnsi="Times New Roman" w:eastAsia="仿宋_GB2312" w:cs="Times New Roman"/>
          <w:color w:val="auto"/>
          <w:szCs w:val="32"/>
        </w:rPr>
        <w:t>整（</w:t>
      </w:r>
      <w:r>
        <w:rPr>
          <w:rFonts w:hint="default" w:ascii="Times New Roman" w:hAnsi="Times New Roman" w:cs="Times New Roman"/>
          <w:color w:val="auto"/>
          <w:szCs w:val="32"/>
          <w:lang w:val="en-US" w:eastAsia="zh-CN"/>
        </w:rPr>
        <w:t>¥</w:t>
      </w:r>
      <w:r>
        <w:rPr>
          <w:rFonts w:hint="eastAsia" w:ascii="Times New Roman" w:cs="Times New Roman"/>
          <w:color w:val="auto"/>
          <w:szCs w:val="32"/>
          <w:lang w:val="en-US" w:eastAsia="zh-CN"/>
        </w:rPr>
        <w:t>50</w:t>
      </w:r>
      <w:r>
        <w:rPr>
          <w:rFonts w:hint="default" w:ascii="Times New Roman" w:hAnsi="Times New Roman" w:cs="Times New Roman"/>
          <w:color w:val="auto"/>
          <w:szCs w:val="32"/>
          <w:lang w:val="en-US" w:eastAsia="zh-CN"/>
        </w:rPr>
        <w:t>0</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00,000.00</w:t>
      </w:r>
      <w:r>
        <w:rPr>
          <w:rFonts w:hint="default" w:ascii="Times New Roman" w:hAnsi="Times New Roman" w:eastAsia="仿宋_GB2312" w:cs="Times New Roman"/>
          <w:color w:val="auto"/>
          <w:szCs w:val="32"/>
        </w:rPr>
        <w:t>）</w:t>
      </w:r>
      <w:r>
        <w:rPr>
          <w:rFonts w:hint="default" w:ascii="Times New Roman" w:hAnsi="Times New Roman" w:cs="Times New Roman"/>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color w:val="auto"/>
          <w:szCs w:val="32"/>
          <w:lang w:eastAsia="zh-CN"/>
        </w:rPr>
      </w:pPr>
      <w:r>
        <w:rPr>
          <w:rFonts w:hint="default" w:ascii="Times New Roman" w:hAnsi="Times New Roman" w:cs="Times New Roman"/>
          <w:color w:val="auto"/>
          <w:szCs w:val="32"/>
          <w:lang w:val="en-US" w:eastAsia="zh-CN"/>
        </w:rPr>
        <w:t>丰202</w:t>
      </w:r>
      <w:r>
        <w:rPr>
          <w:rFonts w:hint="eastAsia" w:ascii="Times New Roman" w:cs="Times New Roman"/>
          <w:color w:val="auto"/>
          <w:szCs w:val="32"/>
          <w:lang w:val="en-US" w:eastAsia="zh-CN"/>
        </w:rPr>
        <w:t>5</w:t>
      </w:r>
      <w:r>
        <w:rPr>
          <w:rFonts w:hint="default" w:ascii="Times New Roman" w:hAnsi="Times New Roman" w:cs="Times New Roman"/>
          <w:color w:val="auto"/>
          <w:szCs w:val="32"/>
          <w:lang w:val="en-US" w:eastAsia="zh-CN"/>
        </w:rPr>
        <w:t>-1</w:t>
      </w:r>
      <w:r>
        <w:rPr>
          <w:rFonts w:hint="eastAsia" w:ascii="Times New Roman" w:cs="Times New Roman"/>
          <w:color w:val="auto"/>
          <w:szCs w:val="32"/>
          <w:lang w:val="en-US" w:eastAsia="zh-CN"/>
        </w:rPr>
        <w:t>0</w:t>
      </w:r>
      <w:r>
        <w:rPr>
          <w:rFonts w:hint="default" w:ascii="Times New Roman" w:hAnsi="Times New Roman" w:cs="Times New Roman"/>
          <w:color w:val="auto"/>
          <w:szCs w:val="32"/>
          <w:lang w:val="en-US" w:eastAsia="zh-CN"/>
        </w:rPr>
        <w:t>号</w:t>
      </w:r>
      <w:r>
        <w:rPr>
          <w:rFonts w:hint="default" w:ascii="Times New Roman" w:hAnsi="Times New Roman" w:eastAsia="仿宋_GB2312" w:cs="Times New Roman"/>
          <w:color w:val="auto"/>
          <w:szCs w:val="32"/>
        </w:rPr>
        <w:t>地块的竞买保证金为人民币（大写）</w:t>
      </w:r>
      <w:r>
        <w:rPr>
          <w:rFonts w:hint="eastAsia" w:ascii="Times New Roman" w:cs="Times New Roman"/>
          <w:color w:val="auto"/>
          <w:szCs w:val="32"/>
          <w:lang w:eastAsia="zh-CN"/>
        </w:rPr>
        <w:t>贰亿零贰佰伍拾万</w:t>
      </w:r>
      <w:r>
        <w:rPr>
          <w:rFonts w:hint="default" w:ascii="Times New Roman" w:hAnsi="Times New Roman" w:cs="Times New Roman"/>
          <w:color w:val="auto"/>
          <w:szCs w:val="32"/>
          <w:lang w:eastAsia="zh-CN"/>
        </w:rPr>
        <w:t>元</w:t>
      </w:r>
      <w:r>
        <w:rPr>
          <w:rFonts w:hint="default" w:ascii="Times New Roman" w:hAnsi="Times New Roman" w:eastAsia="仿宋_GB2312" w:cs="Times New Roman"/>
          <w:color w:val="auto"/>
          <w:szCs w:val="32"/>
        </w:rPr>
        <w:t>整（</w:t>
      </w:r>
      <w:r>
        <w:rPr>
          <w:rFonts w:hint="default" w:ascii="Times New Roman" w:hAnsi="Times New Roman" w:cs="Times New Roman"/>
          <w:color w:val="auto"/>
          <w:szCs w:val="32"/>
          <w:lang w:val="en-US" w:eastAsia="zh-CN"/>
        </w:rPr>
        <w:t>¥</w:t>
      </w:r>
      <w:r>
        <w:rPr>
          <w:rFonts w:hint="eastAsia" w:ascii="Times New Roman" w:cs="Times New Roman"/>
          <w:color w:val="auto"/>
          <w:szCs w:val="32"/>
          <w:lang w:val="en-US" w:eastAsia="zh-CN"/>
        </w:rPr>
        <w:t>202</w:t>
      </w:r>
      <w:r>
        <w:rPr>
          <w:rFonts w:hint="default" w:ascii="Times New Roman" w:hAnsi="Times New Roman" w:eastAsia="仿宋_GB2312" w:cs="Times New Roman"/>
          <w:color w:val="auto"/>
          <w:sz w:val="32"/>
          <w:szCs w:val="32"/>
          <w:lang w:val="en-US" w:eastAsia="zh-CN"/>
        </w:rPr>
        <w:t>,</w:t>
      </w:r>
      <w:r>
        <w:rPr>
          <w:rFonts w:hint="eastAsia" w:ascii="Times New Roman"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00,000.00</w:t>
      </w:r>
      <w:r>
        <w:rPr>
          <w:rFonts w:hint="default" w:ascii="Times New Roman" w:hAnsi="Times New Roman" w:eastAsia="仿宋_GB2312" w:cs="Times New Roman"/>
          <w:color w:val="auto"/>
          <w:szCs w:val="32"/>
        </w:rPr>
        <w:t>）</w:t>
      </w:r>
      <w:r>
        <w:rPr>
          <w:rFonts w:hint="default" w:ascii="Times New Roman" w:hAnsi="Times New Roman" w:cs="Times New Roman"/>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lang w:eastAsia="zh-CN"/>
        </w:rPr>
      </w:pPr>
      <w:r>
        <w:rPr>
          <w:rFonts w:hint="eastAsia" w:ascii="Times New Roman" w:cs="Times New Roman"/>
          <w:color w:val="auto"/>
          <w:szCs w:val="32"/>
          <w:lang w:val="en-US" w:eastAsia="zh-CN"/>
        </w:rPr>
        <w:t>濛</w:t>
      </w:r>
      <w:r>
        <w:rPr>
          <w:rFonts w:hint="default" w:ascii="Times New Roman" w:hAnsi="Times New Roman" w:cs="Times New Roman"/>
          <w:color w:val="auto"/>
          <w:szCs w:val="32"/>
          <w:lang w:val="en-US" w:eastAsia="zh-CN"/>
        </w:rPr>
        <w:t>202</w:t>
      </w:r>
      <w:r>
        <w:rPr>
          <w:rFonts w:hint="eastAsia" w:ascii="Times New Roman" w:cs="Times New Roman"/>
          <w:color w:val="auto"/>
          <w:szCs w:val="32"/>
          <w:lang w:val="en-US" w:eastAsia="zh-CN"/>
        </w:rPr>
        <w:t>4-3</w:t>
      </w:r>
      <w:r>
        <w:rPr>
          <w:rFonts w:hint="default" w:ascii="Times New Roman" w:hAnsi="Times New Roman" w:cs="Times New Roman"/>
          <w:color w:val="auto"/>
          <w:szCs w:val="32"/>
          <w:lang w:val="en-US" w:eastAsia="zh-CN"/>
        </w:rPr>
        <w:t>号</w:t>
      </w:r>
      <w:r>
        <w:rPr>
          <w:rFonts w:hint="default" w:ascii="Times New Roman" w:hAnsi="Times New Roman" w:eastAsia="仿宋_GB2312" w:cs="Times New Roman"/>
          <w:color w:val="auto"/>
          <w:szCs w:val="32"/>
        </w:rPr>
        <w:t>地块的竞买保证金为人民币（大写）</w:t>
      </w:r>
      <w:r>
        <w:rPr>
          <w:rFonts w:hint="default" w:ascii="Times New Roman" w:hAnsi="Times New Roman" w:cs="Times New Roman"/>
          <w:color w:val="auto"/>
          <w:szCs w:val="32"/>
          <w:lang w:eastAsia="zh-CN"/>
        </w:rPr>
        <w:t>叁佰万元</w:t>
      </w:r>
      <w:r>
        <w:rPr>
          <w:rFonts w:hint="default" w:ascii="Times New Roman" w:hAnsi="Times New Roman" w:eastAsia="仿宋_GB2312" w:cs="Times New Roman"/>
          <w:color w:val="auto"/>
          <w:szCs w:val="32"/>
        </w:rPr>
        <w:t>整（</w:t>
      </w:r>
      <w:r>
        <w:rPr>
          <w:rFonts w:hint="default" w:ascii="Times New Roman" w:hAnsi="Times New Roman" w:cs="Times New Roman"/>
          <w:color w:val="auto"/>
          <w:szCs w:val="32"/>
          <w:lang w:val="en-US" w:eastAsia="zh-CN"/>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00,000.00</w:t>
      </w:r>
      <w:r>
        <w:rPr>
          <w:rFonts w:hint="default" w:ascii="Times New Roman" w:hAnsi="Times New Roman" w:eastAsia="仿宋_GB2312" w:cs="Times New Roman"/>
          <w:color w:val="auto"/>
          <w:szCs w:val="32"/>
        </w:rPr>
        <w:t>）</w:t>
      </w:r>
      <w:r>
        <w:rPr>
          <w:rFonts w:hint="default" w:ascii="Times New Roman" w:hAnsi="Times New Roman" w:cs="Times New Roman"/>
          <w:color w:val="auto"/>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六、申请和资格审查</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（一）拍卖出让文件索取</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竞买人可于202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8</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8</w:t>
      </w:r>
      <w:r>
        <w:rPr>
          <w:rFonts w:hint="default" w:ascii="Times New Roman" w:hAnsi="Times New Roman" w:eastAsia="仿宋_GB2312" w:cs="Times New Roman"/>
          <w:color w:val="auto"/>
          <w:szCs w:val="32"/>
        </w:rPr>
        <w:t>日至202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8</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25</w:t>
      </w:r>
      <w:r>
        <w:rPr>
          <w:rFonts w:hint="default" w:ascii="Times New Roman" w:hAnsi="Times New Roman" w:eastAsia="仿宋_GB2312" w:cs="Times New Roman"/>
          <w:color w:val="auto"/>
          <w:szCs w:val="32"/>
        </w:rPr>
        <w:t>日，到泉州市丰泽区海星街100号东海大厦A幢市政务服务中心4楼450室购买索取本次拍卖出让文件，具体包括：</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1.国有建设用地使用权出让公告(泉自然资告字〔202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w:t>
      </w:r>
      <w:r>
        <w:rPr>
          <w:rFonts w:hint="eastAsia" w:ascii="Times New Roman" w:cs="Times New Roman"/>
          <w:color w:val="auto"/>
          <w:szCs w:val="32"/>
          <w:lang w:val="en-US" w:eastAsia="zh-CN"/>
        </w:rPr>
        <w:t>11</w:t>
      </w:r>
      <w:r>
        <w:rPr>
          <w:rFonts w:hint="default" w:ascii="Times New Roman" w:hAnsi="Times New Roman" w:eastAsia="仿宋_GB2312" w:cs="Times New Roman"/>
          <w:color w:val="auto"/>
          <w:szCs w:val="32"/>
        </w:rPr>
        <w:t>号)</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2.国有建设用地使用权拍卖出让须知</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3.泉州市自然资源和规划局规划设计条件文件（复印件）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4.竞买申请书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5.竞买承诺书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6.法定代表人身份证明书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7.授权委托书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8.竞买资格确认书（样本）</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9.成交确认书（样本）</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10.地块宗地图（复印件）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11.泉州市自然资源和规划局用地红线图（复印件）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12</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《住宅用地竞买保证金、成交价款来源情况申报表》</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13.地块相关监管协议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（二）提交申请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竞买人应于202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8</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25</w:t>
      </w:r>
      <w:r>
        <w:rPr>
          <w:rFonts w:hint="default" w:ascii="Times New Roman" w:hAnsi="Times New Roman" w:eastAsia="仿宋_GB2312" w:cs="Times New Roman"/>
          <w:color w:val="auto"/>
          <w:szCs w:val="32"/>
        </w:rPr>
        <w:t>日17时前，到泉州市丰泽区海星街100号东海大厦A幢市政务服务中心4楼450室提交书面申请（不接受邮寄、电子邮件及口头竞买报名），</w:t>
      </w:r>
      <w:r>
        <w:rPr>
          <w:rFonts w:hint="default" w:ascii="Times New Roman" w:hAnsi="Times New Roman" w:eastAsia="仿宋_GB2312" w:cs="Times New Roman"/>
          <w:b/>
          <w:color w:val="auto"/>
          <w:szCs w:val="32"/>
        </w:rPr>
        <w:t>所有申请文件必须为正本一式二份。</w:t>
      </w:r>
      <w:r>
        <w:rPr>
          <w:rFonts w:hint="default" w:ascii="Times New Roman" w:hAnsi="Times New Roman" w:eastAsia="仿宋_GB2312" w:cs="Times New Roman"/>
          <w:color w:val="auto"/>
          <w:szCs w:val="32"/>
        </w:rPr>
        <w:t>申请文件包括：</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1．法人申请的，应提交下列文件：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（1）竞买申请书；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（2）竞买承诺书；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（3）《住宅用地竞买保证金、成交价款来源情况申报表》</w:t>
      </w:r>
      <w:r>
        <w:rPr>
          <w:rFonts w:hint="eastAsia" w:ascii="Times New Roman" w:cs="Times New Roman"/>
          <w:color w:val="auto"/>
          <w:szCs w:val="32"/>
          <w:lang w:eastAsia="zh-CN"/>
        </w:rPr>
        <w:t>或银行资信证明</w:t>
      </w:r>
      <w:r>
        <w:rPr>
          <w:rFonts w:hint="default" w:ascii="Times New Roman" w:hAnsi="Times New Roman" w:eastAsia="仿宋_GB2312" w:cs="Times New Roman"/>
          <w:color w:val="auto"/>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（4）法人单位有效证明文件；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（5）法定代表人身份证明书；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（6）竞买人委托他人办理的，应提交授权委托书及委托代理人的有效身份证明文件；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（7）竞买保证金交纳凭证；</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（8）拍卖文件规定需要提交的其他文件。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2．其他组织申请的，应提交下列文件：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（1）竞买申请书；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（2）竞买承诺书；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（3）《住宅用地竞买保证金、成交价款来源情况申报表》</w:t>
      </w:r>
      <w:r>
        <w:rPr>
          <w:rFonts w:hint="eastAsia" w:ascii="Times New Roman" w:cs="Times New Roman"/>
          <w:color w:val="auto"/>
          <w:szCs w:val="32"/>
          <w:lang w:eastAsia="zh-CN"/>
        </w:rPr>
        <w:t>或银行资信证明</w:t>
      </w:r>
      <w:r>
        <w:rPr>
          <w:rFonts w:hint="default" w:ascii="Times New Roman" w:hAnsi="Times New Roman" w:eastAsia="仿宋_GB2312" w:cs="Times New Roman"/>
          <w:color w:val="auto"/>
          <w:szCs w:val="32"/>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（4）表明该组织合法存在的文件或有效证明；</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（5）表明该组织负责人身份的有效证明文件；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（6）申请人委托他人办理的，应提交授权委托书及委托代理人的身份证明文件；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（7）竞买保证金交纳凭证；</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（8）拍卖文件规定需要提交的其他文件。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3．境外申请人申请的，应提交下列文件：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（1）竞买申请书；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（2）竞买承诺书；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（3）《住宅用地竞买保证金、成交价款来源情况申报表》</w:t>
      </w:r>
      <w:r>
        <w:rPr>
          <w:rFonts w:hint="eastAsia" w:ascii="Times New Roman" w:cs="Times New Roman"/>
          <w:color w:val="auto"/>
          <w:szCs w:val="32"/>
          <w:lang w:eastAsia="zh-CN"/>
        </w:rPr>
        <w:t>或银行资信证明</w:t>
      </w:r>
      <w:r>
        <w:rPr>
          <w:rFonts w:hint="default" w:ascii="Times New Roman" w:hAnsi="Times New Roman" w:eastAsia="仿宋_GB2312" w:cs="Times New Roman"/>
          <w:color w:val="auto"/>
          <w:szCs w:val="32"/>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（4）境外法人、自然人、其他组织的有效身份证明文件；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（5）申请人委托他人办理的，应提交经公证的授权委托书及委托代理人的有效身份证明文件；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（6）竞买保证金交纳凭证；</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（7）拍卖文件规定需要提交的其他文件。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上述文件中，申请书必须用中文书写，其他文件可以使用其他语言，但必须附中文译本，所有文件的解释以中文译本为准。</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（三）资格审查</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受我局委托，由泉州市产权交易中心有限公司负责对拍卖出让公告规定的时间内收到的申请进行资格审查。竞买人按规定交纳竞买保证金、通过资格审查的，方能取得竞买资格。</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经审查，有下列情形之一的，为无效申请：</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1.竞买人不具备竞买资格的；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2.未按规定交纳竞买保证金的；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3.申请文件不齐全或不符合规定的；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4.委托他人代理，委托文件不齐全或不符合规定的；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5.竞买人违反《竞买承诺书》中约定的；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6.法律法规规定的其他情形。</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（四）确认竞买人资格</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经审查，竞买人按规定交纳竞买保证金、具备申请条件的，泉州市产权交易中心有限公司将在报名结束后确认其竞买资格，发给《竞买资格确认书》。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（五）答疑及现场踏勘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竞买人对拍卖出让文件有疑问的，可以在拍卖会开始前以书面或者口头方式向我局咨询。我局于202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8</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12</w:t>
      </w:r>
      <w:r>
        <w:rPr>
          <w:rFonts w:hint="default" w:ascii="Times New Roman" w:hAnsi="Times New Roman" w:eastAsia="仿宋_GB2312" w:cs="Times New Roman"/>
          <w:color w:val="auto"/>
          <w:szCs w:val="32"/>
        </w:rPr>
        <w:t>日至202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8</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13</w:t>
      </w:r>
      <w:r>
        <w:rPr>
          <w:rFonts w:hint="default" w:ascii="Times New Roman" w:hAnsi="Times New Roman" w:eastAsia="仿宋_GB2312" w:cs="Times New Roman"/>
          <w:color w:val="auto"/>
          <w:szCs w:val="32"/>
        </w:rPr>
        <w:t>日组织竞买人对拟出让地块进行现场踏勘。需由我局派员陪同实地踏勘的，请提前与我局联系（联系电话：0595－22769</w:t>
      </w:r>
      <w:r>
        <w:rPr>
          <w:rFonts w:hint="default" w:ascii="Times New Roman" w:hAnsi="Times New Roman" w:eastAsia="仿宋_GB2312" w:cs="Times New Roman"/>
          <w:color w:val="auto"/>
          <w:szCs w:val="32"/>
          <w:lang w:val="en-US" w:eastAsia="zh-CN"/>
        </w:rPr>
        <w:t>01</w:t>
      </w:r>
      <w:r>
        <w:rPr>
          <w:rFonts w:hint="default" w:ascii="Times New Roman" w:hAnsi="Times New Roman" w:eastAsia="仿宋_GB2312" w:cs="Times New Roman"/>
          <w:color w:val="auto"/>
          <w:szCs w:val="32"/>
        </w:rPr>
        <w:t>2）。</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七、宗地的拍卖起叫价和增价幅度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color w:val="auto"/>
          <w:szCs w:val="32"/>
          <w:lang w:eastAsia="zh-CN"/>
        </w:rPr>
      </w:pPr>
      <w:r>
        <w:rPr>
          <w:rFonts w:hint="default" w:ascii="Times New Roman" w:hAnsi="Times New Roman" w:cs="Times New Roman"/>
          <w:color w:val="auto"/>
          <w:szCs w:val="32"/>
          <w:lang w:val="en-US" w:eastAsia="zh-CN"/>
        </w:rPr>
        <w:t>丰2025-</w:t>
      </w:r>
      <w:r>
        <w:rPr>
          <w:rFonts w:hint="eastAsia" w:ascii="Times New Roman" w:cs="Times New Roman"/>
          <w:color w:val="auto"/>
          <w:szCs w:val="32"/>
          <w:lang w:val="en-US" w:eastAsia="zh-CN"/>
        </w:rPr>
        <w:t>1</w:t>
      </w:r>
      <w:r>
        <w:rPr>
          <w:rFonts w:hint="default" w:ascii="Times New Roman" w:hAnsi="Times New Roman" w:eastAsia="仿宋_GB2312" w:cs="Times New Roman"/>
          <w:color w:val="auto"/>
          <w:szCs w:val="32"/>
        </w:rPr>
        <w:t>号地块，起叫价为人民币（大写）</w:t>
      </w:r>
      <w:r>
        <w:rPr>
          <w:rFonts w:hint="eastAsia" w:ascii="Times New Roman" w:cs="Times New Roman"/>
          <w:color w:val="auto"/>
          <w:szCs w:val="32"/>
          <w:lang w:eastAsia="zh-CN"/>
        </w:rPr>
        <w:t>壹拾亿</w:t>
      </w:r>
      <w:r>
        <w:rPr>
          <w:rFonts w:hint="default" w:ascii="Times New Roman" w:hAnsi="Times New Roman" w:eastAsia="仿宋_GB2312" w:cs="Times New Roman"/>
          <w:color w:val="auto"/>
          <w:szCs w:val="32"/>
        </w:rPr>
        <w:t>元整（</w:t>
      </w:r>
      <w:r>
        <w:rPr>
          <w:rFonts w:hint="default" w:ascii="Times New Roman" w:hAnsi="Times New Roman" w:cs="Times New Roman"/>
          <w:color w:val="auto"/>
          <w:szCs w:val="32"/>
          <w:lang w:val="en-US" w:eastAsia="zh-CN"/>
        </w:rPr>
        <w:t>¥</w:t>
      </w:r>
      <w:r>
        <w:rPr>
          <w:rFonts w:hint="eastAsia" w:ascii="Times New Roman" w:cs="Times New Roman"/>
          <w:color w:val="auto"/>
          <w:szCs w:val="32"/>
          <w:lang w:val="en-US" w:eastAsia="zh-CN"/>
        </w:rPr>
        <w:t>1，000</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00,000.00</w:t>
      </w:r>
      <w:r>
        <w:rPr>
          <w:rFonts w:hint="default" w:ascii="Times New Roman" w:hAnsi="Times New Roman" w:eastAsia="仿宋_GB2312" w:cs="Times New Roman"/>
          <w:color w:val="auto"/>
          <w:szCs w:val="32"/>
        </w:rPr>
        <w:t>），增价幅度为人民币（大写）</w:t>
      </w:r>
      <w:r>
        <w:rPr>
          <w:rFonts w:hint="eastAsia" w:ascii="Times New Roman" w:cs="Times New Roman"/>
          <w:color w:val="auto"/>
          <w:szCs w:val="32"/>
          <w:lang w:eastAsia="zh-CN"/>
        </w:rPr>
        <w:t>叁佰万</w:t>
      </w:r>
      <w:r>
        <w:rPr>
          <w:rFonts w:hint="default" w:ascii="Times New Roman" w:hAnsi="Times New Roman" w:eastAsia="仿宋_GB2312" w:cs="Times New Roman"/>
          <w:color w:val="auto"/>
          <w:szCs w:val="32"/>
        </w:rPr>
        <w:t>元整（</w:t>
      </w:r>
      <w:r>
        <w:rPr>
          <w:rFonts w:hint="default" w:ascii="Times New Roman" w:hAnsi="Times New Roman" w:cs="Times New Roman"/>
          <w:color w:val="auto"/>
          <w:szCs w:val="32"/>
          <w:lang w:val="en-US" w:eastAsia="zh-CN"/>
        </w:rPr>
        <w:t>¥</w:t>
      </w:r>
      <w:r>
        <w:rPr>
          <w:rFonts w:hint="eastAsia" w:ascii="Times New Roman" w:cs="Times New Roman"/>
          <w:color w:val="auto"/>
          <w:szCs w:val="32"/>
          <w:lang w:val="en-US" w:eastAsia="zh-CN"/>
        </w:rPr>
        <w:t>3</w:t>
      </w:r>
      <w:r>
        <w:rPr>
          <w:rFonts w:hint="default" w:ascii="Times New Roman" w:hAnsi="Times New Roman" w:eastAsia="仿宋_GB2312" w:cs="Times New Roman"/>
          <w:color w:val="auto"/>
          <w:szCs w:val="32"/>
        </w:rPr>
        <w:t>,000,000.00）或</w:t>
      </w:r>
      <w:r>
        <w:rPr>
          <w:rFonts w:hint="eastAsia" w:ascii="Times New Roman" w:cs="Times New Roman"/>
          <w:color w:val="auto"/>
          <w:szCs w:val="32"/>
          <w:lang w:val="en-US" w:eastAsia="zh-CN"/>
        </w:rPr>
        <w:t>3</w:t>
      </w:r>
      <w:r>
        <w:rPr>
          <w:rFonts w:hint="default" w:ascii="Times New Roman" w:hAnsi="Times New Roman" w:eastAsia="仿宋_GB2312" w:cs="Times New Roman"/>
          <w:color w:val="auto"/>
          <w:szCs w:val="32"/>
        </w:rPr>
        <w:t>00万元整数倍金额</w:t>
      </w:r>
      <w:r>
        <w:rPr>
          <w:rFonts w:hint="default" w:ascii="Times New Roman" w:hAnsi="Times New Roman" w:cs="Times New Roman"/>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color w:val="auto"/>
          <w:szCs w:val="32"/>
          <w:lang w:eastAsia="zh-CN"/>
        </w:rPr>
      </w:pPr>
      <w:r>
        <w:rPr>
          <w:rFonts w:hint="default" w:ascii="Times New Roman" w:hAnsi="Times New Roman" w:cs="Times New Roman"/>
          <w:color w:val="auto"/>
          <w:szCs w:val="32"/>
          <w:lang w:val="en-US" w:eastAsia="zh-CN"/>
        </w:rPr>
        <w:t>丰202</w:t>
      </w:r>
      <w:r>
        <w:rPr>
          <w:rFonts w:hint="eastAsia" w:ascii="Times New Roman" w:cs="Times New Roman"/>
          <w:color w:val="auto"/>
          <w:szCs w:val="32"/>
          <w:lang w:val="en-US" w:eastAsia="zh-CN"/>
        </w:rPr>
        <w:t>5</w:t>
      </w:r>
      <w:r>
        <w:rPr>
          <w:rFonts w:hint="default" w:ascii="Times New Roman" w:hAnsi="Times New Roman" w:cs="Times New Roman"/>
          <w:color w:val="auto"/>
          <w:szCs w:val="32"/>
          <w:lang w:val="en-US" w:eastAsia="zh-CN"/>
        </w:rPr>
        <w:t>-1</w:t>
      </w:r>
      <w:r>
        <w:rPr>
          <w:rFonts w:hint="eastAsia" w:ascii="Times New Roman" w:cs="Times New Roman"/>
          <w:color w:val="auto"/>
          <w:szCs w:val="32"/>
          <w:lang w:val="en-US" w:eastAsia="zh-CN"/>
        </w:rPr>
        <w:t>0</w:t>
      </w:r>
      <w:r>
        <w:rPr>
          <w:rFonts w:hint="default" w:ascii="Times New Roman" w:hAnsi="Times New Roman" w:eastAsia="仿宋_GB2312" w:cs="Times New Roman"/>
          <w:color w:val="auto"/>
          <w:szCs w:val="32"/>
        </w:rPr>
        <w:t>号地块，起叫价为人民币（大写）</w:t>
      </w:r>
      <w:r>
        <w:rPr>
          <w:rFonts w:hint="eastAsia" w:ascii="Times New Roman" w:cs="Times New Roman"/>
          <w:color w:val="auto"/>
          <w:szCs w:val="32"/>
          <w:lang w:eastAsia="zh-CN"/>
        </w:rPr>
        <w:t>肆亿零伍佰万</w:t>
      </w:r>
      <w:r>
        <w:rPr>
          <w:rFonts w:hint="default" w:ascii="Times New Roman" w:hAnsi="Times New Roman" w:eastAsia="仿宋_GB2312" w:cs="Times New Roman"/>
          <w:color w:val="auto"/>
          <w:szCs w:val="32"/>
        </w:rPr>
        <w:t>元整（</w:t>
      </w:r>
      <w:r>
        <w:rPr>
          <w:rFonts w:hint="default" w:ascii="Times New Roman" w:hAnsi="Times New Roman" w:cs="Times New Roman"/>
          <w:color w:val="auto"/>
          <w:szCs w:val="32"/>
          <w:lang w:val="en-US" w:eastAsia="zh-CN"/>
        </w:rPr>
        <w:t>¥</w:t>
      </w:r>
      <w:r>
        <w:rPr>
          <w:rFonts w:hint="eastAsia" w:ascii="Times New Roman" w:cs="Times New Roman"/>
          <w:color w:val="auto"/>
          <w:szCs w:val="32"/>
          <w:lang w:val="en-US" w:eastAsia="zh-CN"/>
        </w:rPr>
        <w:t>405</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00,000.00</w:t>
      </w:r>
      <w:r>
        <w:rPr>
          <w:rFonts w:hint="default" w:ascii="Times New Roman" w:hAnsi="Times New Roman" w:eastAsia="仿宋_GB2312" w:cs="Times New Roman"/>
          <w:color w:val="auto"/>
          <w:szCs w:val="32"/>
        </w:rPr>
        <w:t>），增价幅度为人民币（大写）</w:t>
      </w:r>
      <w:r>
        <w:rPr>
          <w:rFonts w:hint="default" w:ascii="Times New Roman" w:hAnsi="Times New Roman" w:cs="Times New Roman"/>
          <w:color w:val="auto"/>
          <w:szCs w:val="32"/>
          <w:lang w:eastAsia="zh-CN"/>
        </w:rPr>
        <w:t>贰</w:t>
      </w:r>
      <w:r>
        <w:rPr>
          <w:rFonts w:hint="default" w:ascii="Times New Roman" w:hAnsi="Times New Roman" w:eastAsia="仿宋_GB2312" w:cs="Times New Roman"/>
          <w:color w:val="auto"/>
          <w:szCs w:val="32"/>
        </w:rPr>
        <w:t>佰万元整（</w:t>
      </w:r>
      <w:r>
        <w:rPr>
          <w:rFonts w:hint="default" w:ascii="Times New Roman" w:hAnsi="Times New Roman" w:cs="Times New Roman"/>
          <w:color w:val="auto"/>
          <w:szCs w:val="32"/>
          <w:lang w:val="en-US" w:eastAsia="zh-CN"/>
        </w:rPr>
        <w:t>¥2</w:t>
      </w:r>
      <w:r>
        <w:rPr>
          <w:rFonts w:hint="default" w:ascii="Times New Roman" w:hAnsi="Times New Roman" w:eastAsia="仿宋_GB2312" w:cs="Times New Roman"/>
          <w:color w:val="auto"/>
          <w:szCs w:val="32"/>
        </w:rPr>
        <w:t>,000,000.00）或</w:t>
      </w:r>
      <w:r>
        <w:rPr>
          <w:rFonts w:hint="default" w:ascii="Times New Roman" w:hAnsi="Times New Roman" w:cs="Times New Roman"/>
          <w:color w:val="auto"/>
          <w:szCs w:val="32"/>
          <w:lang w:val="en-US" w:eastAsia="zh-CN"/>
        </w:rPr>
        <w:t>2</w:t>
      </w:r>
      <w:r>
        <w:rPr>
          <w:rFonts w:hint="default" w:ascii="Times New Roman" w:hAnsi="Times New Roman" w:eastAsia="仿宋_GB2312" w:cs="Times New Roman"/>
          <w:color w:val="auto"/>
          <w:szCs w:val="32"/>
        </w:rPr>
        <w:t>00万元整数倍金额</w:t>
      </w:r>
      <w:r>
        <w:rPr>
          <w:rFonts w:hint="default" w:ascii="Times New Roman" w:hAnsi="Times New Roman" w:cs="Times New Roman"/>
          <w:color w:val="auto"/>
          <w:szCs w:val="32"/>
          <w:lang w:eastAsia="zh-CN"/>
        </w:rPr>
        <w:t>；</w:t>
      </w:r>
    </w:p>
    <w:p>
      <w:pPr>
        <w:pStyle w:val="11"/>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szCs w:val="32"/>
          <w:lang w:eastAsia="zh-CN"/>
        </w:rPr>
      </w:pPr>
      <w:r>
        <w:rPr>
          <w:rFonts w:hint="eastAsia" w:ascii="Times New Roman" w:cs="Times New Roman"/>
          <w:color w:val="auto"/>
          <w:szCs w:val="32"/>
          <w:lang w:val="en-US" w:eastAsia="zh-CN"/>
        </w:rPr>
        <w:t>濛</w:t>
      </w:r>
      <w:r>
        <w:rPr>
          <w:rFonts w:hint="default" w:ascii="Times New Roman" w:hAnsi="Times New Roman" w:cs="Times New Roman"/>
          <w:color w:val="auto"/>
          <w:szCs w:val="32"/>
          <w:lang w:val="en-US" w:eastAsia="zh-CN"/>
        </w:rPr>
        <w:t>202</w:t>
      </w:r>
      <w:r>
        <w:rPr>
          <w:rFonts w:hint="eastAsia" w:ascii="Times New Roman" w:cs="Times New Roman"/>
          <w:color w:val="auto"/>
          <w:szCs w:val="32"/>
          <w:lang w:val="en-US" w:eastAsia="zh-CN"/>
        </w:rPr>
        <w:t>4</w:t>
      </w:r>
      <w:r>
        <w:rPr>
          <w:rFonts w:hint="default" w:ascii="Times New Roman" w:hAnsi="Times New Roman" w:cs="Times New Roman"/>
          <w:color w:val="auto"/>
          <w:szCs w:val="32"/>
          <w:lang w:val="en-US" w:eastAsia="zh-CN"/>
        </w:rPr>
        <w:t>-</w:t>
      </w:r>
      <w:r>
        <w:rPr>
          <w:rFonts w:hint="eastAsia" w:ascii="Times New Roman" w:cs="Times New Roman"/>
          <w:color w:val="auto"/>
          <w:szCs w:val="32"/>
          <w:lang w:val="en-US" w:eastAsia="zh-CN"/>
        </w:rPr>
        <w:t>3</w:t>
      </w:r>
      <w:r>
        <w:rPr>
          <w:rFonts w:hint="default" w:ascii="Times New Roman" w:hAnsi="Times New Roman" w:eastAsia="仿宋_GB2312" w:cs="Times New Roman"/>
          <w:color w:val="auto"/>
          <w:szCs w:val="32"/>
        </w:rPr>
        <w:t>号地块，起叫价为人民币（大写）</w:t>
      </w:r>
      <w:r>
        <w:rPr>
          <w:rFonts w:hint="eastAsia" w:ascii="Times New Roman" w:cs="Times New Roman"/>
          <w:color w:val="auto"/>
          <w:szCs w:val="32"/>
          <w:lang w:eastAsia="zh-CN"/>
        </w:rPr>
        <w:t>壹仟万</w:t>
      </w:r>
      <w:r>
        <w:rPr>
          <w:rFonts w:hint="default" w:ascii="Times New Roman" w:hAnsi="Times New Roman" w:eastAsia="仿宋_GB2312" w:cs="Times New Roman"/>
          <w:color w:val="auto"/>
          <w:szCs w:val="32"/>
        </w:rPr>
        <w:t>元整（</w:t>
      </w:r>
      <w:r>
        <w:rPr>
          <w:rFonts w:hint="default" w:ascii="Times New Roman" w:hAnsi="Times New Roman" w:cs="Times New Roman"/>
          <w:color w:val="auto"/>
          <w:szCs w:val="32"/>
          <w:lang w:val="en-US" w:eastAsia="zh-CN"/>
        </w:rPr>
        <w:t>¥</w:t>
      </w:r>
      <w:r>
        <w:rPr>
          <w:rFonts w:hint="eastAsia" w:ascii="Times New Roman" w:cs="Times New Roman"/>
          <w:color w:val="auto"/>
          <w:szCs w:val="32"/>
          <w:lang w:val="en-US" w:eastAsia="zh-CN"/>
        </w:rPr>
        <w:t>10</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00,000.00</w:t>
      </w:r>
      <w:r>
        <w:rPr>
          <w:rFonts w:hint="default" w:ascii="Times New Roman" w:hAnsi="Times New Roman" w:eastAsia="仿宋_GB2312" w:cs="Times New Roman"/>
          <w:color w:val="auto"/>
          <w:szCs w:val="32"/>
        </w:rPr>
        <w:t>），增价幅度为人民币（大写）</w:t>
      </w:r>
      <w:r>
        <w:rPr>
          <w:rFonts w:hint="default" w:ascii="Times New Roman" w:hAnsi="Times New Roman" w:cs="Times New Roman"/>
          <w:color w:val="auto"/>
          <w:szCs w:val="32"/>
          <w:lang w:eastAsia="zh-CN"/>
        </w:rPr>
        <w:t>壹拾</w:t>
      </w:r>
      <w:r>
        <w:rPr>
          <w:rFonts w:hint="default" w:ascii="Times New Roman" w:hAnsi="Times New Roman" w:eastAsia="仿宋_GB2312" w:cs="Times New Roman"/>
          <w:color w:val="auto"/>
          <w:szCs w:val="32"/>
        </w:rPr>
        <w:t>万元整（</w:t>
      </w:r>
      <w:r>
        <w:rPr>
          <w:rFonts w:hint="default" w:ascii="Times New Roman" w:hAnsi="Times New Roman" w:cs="Times New Roman"/>
          <w:color w:val="auto"/>
          <w:szCs w:val="32"/>
          <w:lang w:val="en-US" w:eastAsia="zh-CN"/>
        </w:rPr>
        <w:t>¥1</w:t>
      </w:r>
      <w:r>
        <w:rPr>
          <w:rFonts w:hint="default" w:ascii="Times New Roman" w:hAnsi="Times New Roman" w:eastAsia="仿宋_GB2312" w:cs="Times New Roman"/>
          <w:color w:val="auto"/>
          <w:szCs w:val="32"/>
        </w:rPr>
        <w:t>00,000.00）或</w:t>
      </w:r>
      <w:r>
        <w:rPr>
          <w:rFonts w:hint="default" w:ascii="Times New Roman" w:hAnsi="Times New Roman" w:cs="Times New Roman"/>
          <w:color w:val="auto"/>
          <w:szCs w:val="32"/>
          <w:lang w:val="en-US" w:eastAsia="zh-CN"/>
        </w:rPr>
        <w:t>1</w:t>
      </w:r>
      <w:r>
        <w:rPr>
          <w:rFonts w:hint="default" w:ascii="Times New Roman" w:hAnsi="Times New Roman" w:eastAsia="仿宋_GB2312" w:cs="Times New Roman"/>
          <w:color w:val="auto"/>
          <w:szCs w:val="32"/>
        </w:rPr>
        <w:t>0万元整数倍金额</w:t>
      </w:r>
      <w:r>
        <w:rPr>
          <w:rFonts w:hint="default" w:ascii="Times New Roman" w:hAnsi="Times New Roman" w:cs="Times New Roman"/>
          <w:color w:val="auto"/>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八、拍卖程序</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（一）拍卖会程序</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1．拍卖主持人宣布拍卖会开始。</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2．拍卖主持人、记录员、公证员就位。</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3．拍卖主持人点算竞买人。点到竞买号牌号码时，竞买人须举牌示意。拍卖主持人宣布竞买人到场情况。</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4．拍卖主持人介绍拍卖地块的位置、面积、用途、使用年限、规划指标要求、建设时间等。</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5．拍卖主持人宣布拍卖宗地的起叫价、增价规则和增价幅度，并明确提示不设保留价。在拍卖过程中，拍卖主持人可根据现场情况调整增价幅度。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6．拍卖主持人报出起叫价，宣布竞价开始。</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竞买人举牌应价或者报价。竞买人举牌报价，可以是主持人的叫价，也可以是叫价加上增价幅度的整数倍。竞买人报价时，手举的竞买号牌应高出头部。经主持人同意后，竞买人方可放下已经举起的竞买号牌。</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8．拍卖主持人确认该竞买人应价或者报价后继续竞价。</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9．拍卖主持人连续三次宣布同一应价或报价而没有人再应价或出价的，拍卖主持人落槌表示拍卖成交，并宣布最高应价者为竞得人。成交结果对竞得人和出让人均具有法律效力。</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确定竞得人后，竞得人应与泉州市产权交易中心有限公司当场签订《成交确认书》，竞得人不按规定签订《成交确认书》的，应当承担法律责任。竞得人拒绝签订《成交确认书》也不能对抗拍卖成交结果的法律效力。</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（三）出让人与竞得人依据《成交确认书》约定签订《国有建设用地使用权出让合同》。</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（四）出让结果公布</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u w:val="single"/>
        </w:rPr>
      </w:pPr>
      <w:r>
        <w:rPr>
          <w:rFonts w:hint="default" w:ascii="Times New Roman" w:hAnsi="Times New Roman" w:eastAsia="仿宋_GB2312" w:cs="Times New Roman"/>
          <w:color w:val="auto"/>
          <w:szCs w:val="32"/>
        </w:rPr>
        <w:t>我局将在此次国有建设用地使用权拍卖会结束后10个工作日内，在中国土地市场网（www.landchina.com）、泉州自然资源和规划</w:t>
      </w:r>
      <w:r>
        <w:rPr>
          <w:rFonts w:hint="default" w:ascii="Times New Roman" w:hAnsi="Times New Roman" w:eastAsia="仿宋_GB2312" w:cs="Times New Roman"/>
          <w:color w:val="auto"/>
          <w:kern w:val="10"/>
          <w:szCs w:val="32"/>
        </w:rPr>
        <w:t>信息网（</w:t>
      </w:r>
      <w:r>
        <w:rPr>
          <w:rFonts w:hint="default" w:ascii="Times New Roman" w:hAnsi="Times New Roman" w:eastAsia="仿宋_GB2312" w:cs="Times New Roman"/>
          <w:color w:val="auto"/>
          <w:szCs w:val="32"/>
        </w:rPr>
        <w:t>zyghj.quanzhou.gov.cn</w:t>
      </w:r>
      <w:r>
        <w:rPr>
          <w:rFonts w:hint="default" w:ascii="Times New Roman" w:hAnsi="Times New Roman" w:eastAsia="仿宋_GB2312" w:cs="Times New Roman"/>
          <w:color w:val="auto"/>
          <w:kern w:val="10"/>
          <w:szCs w:val="32"/>
        </w:rPr>
        <w:t>）</w:t>
      </w:r>
      <w:r>
        <w:rPr>
          <w:rFonts w:hint="default" w:ascii="Times New Roman" w:hAnsi="Times New Roman" w:eastAsia="仿宋_GB2312" w:cs="Times New Roman"/>
          <w:color w:val="auto"/>
          <w:szCs w:val="32"/>
        </w:rPr>
        <w:t>公布本次国有建设用地使用权拍卖出让结果。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九、竞价规则</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（一）不设保留价，按照价高者得的原则确定竞得人。</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（二）竞买人以举牌方式应价，也可以报价，报价的加价幅度不得小于拍卖主持人宣布或调整的增价幅度。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kern w:val="10"/>
          <w:szCs w:val="32"/>
        </w:rPr>
        <w:t>（三）竞买人凭《竞买资格确认书》和法定代表人（自然人、受委托代理人）身份证件领取竞买号牌。</w:t>
      </w:r>
      <w:r>
        <w:rPr>
          <w:rFonts w:hint="default" w:ascii="Times New Roman" w:hAnsi="Times New Roman" w:eastAsia="仿宋_GB2312" w:cs="Times New Roman"/>
          <w:color w:val="auto"/>
          <w:szCs w:val="32"/>
        </w:rPr>
        <w:t>竞买号牌代表竞买人的资格。</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10"/>
          <w:szCs w:val="32"/>
        </w:rPr>
      </w:pPr>
      <w:r>
        <w:rPr>
          <w:rFonts w:hint="default" w:ascii="Times New Roman" w:hAnsi="Times New Roman" w:eastAsia="仿宋_GB2312" w:cs="Times New Roman"/>
          <w:color w:val="auto"/>
          <w:kern w:val="10"/>
          <w:szCs w:val="32"/>
        </w:rPr>
        <w:t>（四）</w:t>
      </w:r>
      <w:r>
        <w:rPr>
          <w:rFonts w:hint="default" w:ascii="Times New Roman" w:hAnsi="Times New Roman" w:eastAsia="仿宋_GB2312" w:cs="Times New Roman"/>
          <w:color w:val="auto"/>
          <w:szCs w:val="32"/>
        </w:rPr>
        <w:t>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8</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26</w:t>
      </w:r>
      <w:r>
        <w:rPr>
          <w:rFonts w:hint="default" w:ascii="Times New Roman" w:hAnsi="Times New Roman" w:eastAsia="仿宋_GB2312" w:cs="Times New Roman"/>
          <w:color w:val="auto"/>
          <w:szCs w:val="32"/>
        </w:rPr>
        <w:t>日9</w:t>
      </w:r>
      <w:r>
        <w:rPr>
          <w:rFonts w:hint="default" w:ascii="Times New Roman" w:hAnsi="Times New Roman" w:eastAsia="仿宋_GB2312" w:cs="Times New Roman"/>
          <w:color w:val="auto"/>
          <w:kern w:val="10"/>
          <w:szCs w:val="32"/>
        </w:rPr>
        <w:t>:00前，竞买人须领取竞买号牌并进入竞买现场，否则视为放弃竞买资格。</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10"/>
          <w:szCs w:val="32"/>
        </w:rPr>
      </w:pPr>
      <w:r>
        <w:rPr>
          <w:rFonts w:hint="default" w:ascii="Times New Roman" w:hAnsi="Times New Roman" w:eastAsia="仿宋_GB2312" w:cs="Times New Roman"/>
          <w:color w:val="auto"/>
          <w:kern w:val="10"/>
          <w:szCs w:val="32"/>
        </w:rPr>
        <w:t>十、缴款时间、交地时间和交地条件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10"/>
          <w:szCs w:val="32"/>
        </w:rPr>
      </w:pPr>
      <w:r>
        <w:rPr>
          <w:rFonts w:hint="default" w:ascii="Times New Roman" w:hAnsi="Times New Roman" w:eastAsia="仿宋_GB2312" w:cs="Times New Roman"/>
          <w:color w:val="auto"/>
          <w:kern w:val="10"/>
          <w:szCs w:val="32"/>
        </w:rPr>
        <w:t>（一）缴款时间</w:t>
      </w:r>
    </w:p>
    <w:p>
      <w:pPr>
        <w:keepNext w:val="0"/>
        <w:keepLines w:val="0"/>
        <w:pageBreakBefore w:val="0"/>
        <w:kinsoku/>
        <w:wordWrap/>
        <w:overflowPunct/>
        <w:topLinePunct w:val="0"/>
        <w:autoSpaceDE/>
        <w:autoSpaceDN/>
        <w:bidi w:val="0"/>
        <w:adjustRightInd/>
        <w:snapToGrid/>
        <w:spacing w:line="540" w:lineRule="exact"/>
        <w:ind w:firstLine="636" w:firstLineChars="199"/>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lang w:val="en-US" w:eastAsia="zh-CN"/>
        </w:rPr>
        <w:t>上述地块竞买保证金转作受让地块的定金，抵作土地出让价款，丰2025-1号、丰2025-10号地块余款自竞得之日起4个月内交清，濛2024-3号地块余款自竞得之日起1个月内交清。</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10"/>
          <w:szCs w:val="32"/>
        </w:rPr>
      </w:pPr>
      <w:r>
        <w:rPr>
          <w:rFonts w:hint="default" w:ascii="Times New Roman" w:hAnsi="Times New Roman" w:eastAsia="仿宋_GB2312" w:cs="Times New Roman"/>
          <w:color w:val="auto"/>
          <w:kern w:val="10"/>
          <w:szCs w:val="32"/>
        </w:rPr>
        <w:t>竞得人应当按时支付成交价款，不能按时支付成交价款的，自违约之日起，每日按迟延支付款项的1‰向出让人缴纳违约金。延期付款超过60日，经出让人催缴后仍未支付成交价款的，出让人有权解除合同并可请求违约赔偿，竞得人无权要求退还定金。</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10"/>
          <w:szCs w:val="32"/>
        </w:rPr>
      </w:pPr>
      <w:r>
        <w:rPr>
          <w:rFonts w:hint="default" w:ascii="Times New Roman" w:hAnsi="Times New Roman" w:eastAsia="仿宋_GB2312" w:cs="Times New Roman"/>
          <w:color w:val="auto"/>
          <w:kern w:val="10"/>
          <w:szCs w:val="32"/>
        </w:rPr>
        <w:t>（二）交地时间和交地条件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10"/>
          <w:szCs w:val="32"/>
        </w:rPr>
      </w:pPr>
      <w:r>
        <w:rPr>
          <w:rFonts w:hint="default" w:ascii="Times New Roman" w:hAnsi="Times New Roman" w:eastAsia="仿宋_GB2312" w:cs="Times New Roman"/>
          <w:color w:val="auto"/>
          <w:kern w:val="10"/>
          <w:szCs w:val="32"/>
        </w:rPr>
        <w:t>此次拍卖出让地块均以土地现状条件出让，地块出让成交后，竞得人与我局签订《国有建设用地使用权出让合同》。在竞得人缴清所有成交价款后，按上述地块在拍卖出让时的土地现状条件，与我局签订《国有建设用地交地确认书》，办理交地手续。</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十一、开工、竣工时间</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上述地块竞得人应在签订《国有建设用地使用权出让合同》之日起1年内开工，并在开工后</w:t>
      </w:r>
      <w:r>
        <w:rPr>
          <w:rFonts w:hint="default" w:ascii="Times New Roman" w:hAnsi="Times New Roman" w:eastAsia="仿宋_GB2312" w:cs="Times New Roman"/>
          <w:color w:val="auto"/>
          <w:szCs w:val="32"/>
          <w:lang w:val="en-US" w:eastAsia="zh-CN"/>
        </w:rPr>
        <w:t>3</w:t>
      </w:r>
      <w:r>
        <w:rPr>
          <w:rFonts w:hint="default" w:ascii="Times New Roman" w:hAnsi="Times New Roman" w:eastAsia="仿宋_GB2312" w:cs="Times New Roman"/>
          <w:color w:val="auto"/>
          <w:szCs w:val="32"/>
        </w:rPr>
        <w:t>年内竣工。</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竞得人未能按照合同约定日期或同意延建所另行约定日期开工建设或竣工的，每延期</w:t>
      </w:r>
      <w:r>
        <w:rPr>
          <w:rFonts w:hint="default" w:ascii="Times New Roman" w:hAnsi="Times New Roman" w:eastAsia="仿宋_GB2312" w:cs="Times New Roman"/>
          <w:color w:val="auto"/>
          <w:szCs w:val="32"/>
          <w:lang w:val="en-US" w:eastAsia="zh-CN"/>
        </w:rPr>
        <w:t>1</w:t>
      </w:r>
      <w:r>
        <w:rPr>
          <w:rFonts w:hint="default" w:ascii="Times New Roman" w:hAnsi="Times New Roman" w:eastAsia="仿宋_GB2312" w:cs="Times New Roman"/>
          <w:color w:val="auto"/>
          <w:szCs w:val="32"/>
        </w:rPr>
        <w:t>日，应向出让人支付相当于成交价款总额1‰的违约金。</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rPr>
        <w:t>竞得人应</w:t>
      </w:r>
      <w:r>
        <w:rPr>
          <w:rFonts w:hint="default" w:ascii="Times New Roman" w:hAnsi="Times New Roman" w:cs="Times New Roman"/>
          <w:color w:val="auto"/>
          <w:szCs w:val="32"/>
          <w:lang w:eastAsia="zh-CN"/>
        </w:rPr>
        <w:t>在开工建设、竣工验收后及时向我局进行开工、竣工申报。</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竞得人造成土地闲置，按《闲置土地处置办法》有关规定执行。</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十二、注意事项</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（一）竞买人须全面阅读有关拍卖文件，如有疑问可以在拍卖会开始日以前用书面或口头方式向我局咨询。竞买人可到现场踏勘拍卖出让地块。申请一经受理确认后，即视为</w:t>
      </w:r>
      <w:bookmarkStart w:id="0" w:name="_Hlk85133807"/>
      <w:r>
        <w:rPr>
          <w:rFonts w:hint="default" w:ascii="Times New Roman" w:hAnsi="Times New Roman" w:eastAsia="仿宋_GB2312" w:cs="Times New Roman"/>
          <w:color w:val="auto"/>
          <w:szCs w:val="32"/>
        </w:rPr>
        <w:t>竞买人</w:t>
      </w:r>
      <w:bookmarkEnd w:id="0"/>
      <w:r>
        <w:rPr>
          <w:rFonts w:hint="default" w:ascii="Times New Roman" w:hAnsi="Times New Roman" w:eastAsia="仿宋_GB2312" w:cs="Times New Roman"/>
          <w:color w:val="auto"/>
          <w:szCs w:val="32"/>
        </w:rPr>
        <w:t>对拍卖文件及地块现状无异议并全部接受，并对有关承诺承担法律责任。</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竞买人竞得土地后，我局可以根据拍卖成交结果与竞得人签订《国有建设用地使用权出让合同》。竞得人拟成立新公司进行开发建设的，应在竞买申请书中明确公司的出资构成、成立时间等内容，按合同约定时间交清土地出让价款。新成立的公司应在国有建设用地使用权出让合同签订之日起90日内办理完成注册登记手续，由我局与新公司签订《国有建设用地使用权出让合同变更协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（三）竞买人一经应价或报价，不可撤回。</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四）确定竞得人后，竞得人在拍卖现场与泉州市产权交易中心有限公司当场签订《成交确认书》。委托他人代签的，应提交法定代表人亲笔签名并盖章的授权委托书。《成交确认书》对出让人和竞得人具有法律效力，改变拍卖结果的，或者竞得人放弃竞得宗地的，应当承担法律责任。</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五）竞得人交纳的竞买保证金，在拍卖成交后转作受让地块的定金，定金抵作土地出让价款，由泉州市产权交易中心有限公司在拍卖活动结束后3个工作日内汇入出让人指定账户。其它竞买人交纳的竞买保证金，由泉州市产权交易中心有限公司在拍卖活动结束后5个工作日内予以退还，不计利息。</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（六）有下列情形之一的，出让人或组织方应当在拍卖会前终止拍卖活动，并通知竞买人：</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1．竞买人串通损害国家利益、社会利益或他人合法权益的；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2．拍卖工作人员私下接触竞买人，足以影响拍卖公正性的；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3．应当依法终止拍卖活动的其他情形。</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（七）竞得人有下列行为之一的，视为违约，出让人或组织方可取消其竞得人资格，竞买保证金不予退还：</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1．竞得人逾期或拒绝签订《成交确认书》的；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w:t>
      </w:r>
      <w:bookmarkStart w:id="1" w:name="OLE_LINK2"/>
      <w:r>
        <w:rPr>
          <w:rFonts w:hint="default" w:ascii="Times New Roman" w:hAnsi="Times New Roman" w:eastAsia="仿宋_GB2312" w:cs="Times New Roman"/>
          <w:color w:val="auto"/>
          <w:szCs w:val="32"/>
        </w:rPr>
        <w:t>．</w:t>
      </w:r>
      <w:bookmarkEnd w:id="1"/>
      <w:r>
        <w:rPr>
          <w:rFonts w:hint="default" w:ascii="Times New Roman" w:hAnsi="Times New Roman" w:eastAsia="仿宋_GB2312" w:cs="Times New Roman"/>
          <w:color w:val="auto"/>
          <w:szCs w:val="32"/>
        </w:rPr>
        <w:t>竞得人逾期或拒绝签订《国有建设用地使用权出让合同》的。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3．竞得人开出的银行支票或汇票在有效期内不能兑现或不能全部兑现。</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因竞得人违约，竞得人应当支付本次拍卖活动所支出的全部费用；出让人另行出让的价格低于原拍卖成交价的，原竞得人须按实际差额支付赔偿金。该幅地块拍卖成交价币种为人民币。</w:t>
      </w:r>
    </w:p>
    <w:p>
      <w:pPr>
        <w:keepNext w:val="0"/>
        <w:keepLines w:val="0"/>
        <w:pageBreakBefore w:val="0"/>
        <w:numPr>
          <w:ilvl w:val="0"/>
          <w:numId w:val="1"/>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拍卖成交价即为该幅地块的总价款，即在满足本出让须知前提下应缴纳的总价款。该价款不包含城市市政公用设施配套费及其他税费，城市市政公用设施配套费及其他税费由竞得人按规定向有关部门另行缴纳。本次交易服务费由竞得人承担，由市产权交易中心向竞得人收取。具体标准如下：</w:t>
      </w:r>
    </w:p>
    <w:tbl>
      <w:tblPr>
        <w:tblStyle w:val="12"/>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成交金额</w:t>
            </w:r>
          </w:p>
        </w:tc>
        <w:tc>
          <w:tcPr>
            <w:tcW w:w="2761" w:type="dxa"/>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100万元以下（含100万元）</w:t>
            </w:r>
          </w:p>
        </w:tc>
        <w:tc>
          <w:tcPr>
            <w:tcW w:w="2761" w:type="dxa"/>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100-500万元部分（含500万元）</w:t>
            </w:r>
          </w:p>
        </w:tc>
        <w:tc>
          <w:tcPr>
            <w:tcW w:w="2761" w:type="dxa"/>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500-1000万元部分（含1000万元）</w:t>
            </w:r>
          </w:p>
        </w:tc>
        <w:tc>
          <w:tcPr>
            <w:tcW w:w="2761" w:type="dxa"/>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1000-3000万元部分（含3000万元）</w:t>
            </w:r>
          </w:p>
        </w:tc>
        <w:tc>
          <w:tcPr>
            <w:tcW w:w="2761" w:type="dxa"/>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3000-5000万元部分（含5000万元）</w:t>
            </w:r>
          </w:p>
        </w:tc>
        <w:tc>
          <w:tcPr>
            <w:tcW w:w="2761" w:type="dxa"/>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5000-10000万元部分（含10000万元）</w:t>
            </w:r>
          </w:p>
        </w:tc>
        <w:tc>
          <w:tcPr>
            <w:tcW w:w="2761" w:type="dxa"/>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10000万元以上</w:t>
            </w:r>
          </w:p>
        </w:tc>
        <w:tc>
          <w:tcPr>
            <w:tcW w:w="2761" w:type="dxa"/>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0</w:t>
            </w:r>
          </w:p>
        </w:tc>
      </w:tr>
    </w:tbl>
    <w:p>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注：按上述费率分级累进计收，每宗收费金额不足100元的按100元收取。</w:t>
      </w:r>
    </w:p>
    <w:p>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 xml:space="preserve">    竞得人须在成交之日起3个工作日内将交易服务费汇到泉州市产权交易中心有限公司指定账号内。</w:t>
      </w:r>
      <w:r>
        <w:rPr>
          <w:rFonts w:hint="default" w:ascii="Times New Roman" w:hAnsi="Times New Roman" w:eastAsia="仿宋_GB2312" w:cs="Times New Roman"/>
          <w:bCs/>
          <w:color w:val="auto"/>
          <w:szCs w:val="32"/>
        </w:rPr>
        <w:t>交易服务费账户户名</w:t>
      </w:r>
      <w:r>
        <w:rPr>
          <w:rFonts w:hint="default" w:ascii="Times New Roman" w:hAnsi="Times New Roman" w:eastAsia="仿宋_GB2312" w:cs="Times New Roman"/>
          <w:color w:val="auto"/>
          <w:szCs w:val="32"/>
        </w:rPr>
        <w:t>：泉州市产权交易中心有限公司，兴业银行泉州丰泽支行152690100100090830。</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九）竞得人与出让人签订《国有建设用地使用权出让合同》后，应当按出让合同约定支付拍卖成交价款。竞得人不能按时支付拍卖成交价款的，自滞纳之日起，每日按迟延支付款项的千分之一加收滞纳金。延期付款超过60日的，出让人可解除合同，并可请求违约赔偿。</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（十）竞得人付清全部拍卖成交价款后，依法申请办理土地登记，领取《不动产权证》，取得土地使用权。</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（十一）竞得人提供虚假文件或隐瞒事实的，出让人或组织方可取消其竞得资格，终止《国有建设用地使用权出让合同》，经政府批准，注销其《不动产权证》，造成损失的，按本注意事项第七条规定赔偿。</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（十二）拍卖不成交的，按规定由我局重新组织出让。</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（十三）参加拍卖活动的人员，应遵守现场的纪律，服从管理人员的管理。</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u w:val="single"/>
        </w:rPr>
      </w:pPr>
      <w:r>
        <w:rPr>
          <w:rFonts w:hint="default" w:ascii="Times New Roman" w:hAnsi="Times New Roman" w:eastAsia="仿宋_GB2312" w:cs="Times New Roman"/>
          <w:color w:val="auto"/>
          <w:szCs w:val="32"/>
        </w:rPr>
        <w:t>（十四）</w:t>
      </w:r>
      <w:r>
        <w:rPr>
          <w:rFonts w:hint="default" w:ascii="Times New Roman" w:hAnsi="Times New Roman" w:eastAsia="仿宋_GB2312" w:cs="Times New Roman"/>
          <w:color w:val="auto"/>
          <w:kern w:val="10"/>
          <w:szCs w:val="32"/>
        </w:rPr>
        <w:t>拍卖工作人员对拍卖出让标的，无论采取任何方式所作的介绍及评论，均作为参考性意见，不构成对拍卖标的任何担保。</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（十五）我局对本《须知》有解释权。未尽事宜依照原国土资源部《招标拍卖挂牌出让国有土地使用权规范（试行）》、《福建省国有土地使用权出让工作规范（试行）》办理。</w:t>
      </w:r>
    </w:p>
    <w:p>
      <w:pPr>
        <w:keepNext w:val="0"/>
        <w:keepLines w:val="0"/>
        <w:pageBreakBefore w:val="0"/>
        <w:kinsoku/>
        <w:wordWrap/>
        <w:overflowPunct/>
        <w:topLinePunct w:val="0"/>
        <w:autoSpaceDE/>
        <w:autoSpaceDN/>
        <w:bidi w:val="0"/>
        <w:adjustRightInd/>
        <w:snapToGrid/>
        <w:spacing w:line="540" w:lineRule="exact"/>
        <w:ind w:right="1440" w:rightChars="450"/>
        <w:textAlignment w:val="auto"/>
        <w:rPr>
          <w:rFonts w:hint="default" w:ascii="Times New Roman" w:hAnsi="Times New Roman" w:eastAsia="仿宋_GB2312" w:cs="Times New Roman"/>
          <w:color w:val="auto"/>
          <w:szCs w:val="32"/>
        </w:rPr>
      </w:pPr>
    </w:p>
    <w:p>
      <w:pPr>
        <w:pStyle w:val="11"/>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rPr>
      </w:pPr>
    </w:p>
    <w:p>
      <w:pPr>
        <w:keepNext w:val="0"/>
        <w:keepLines w:val="0"/>
        <w:pageBreakBefore w:val="0"/>
        <w:kinsoku/>
        <w:wordWrap/>
        <w:overflowPunct/>
        <w:topLinePunct w:val="0"/>
        <w:autoSpaceDE/>
        <w:autoSpaceDN/>
        <w:bidi w:val="0"/>
        <w:adjustRightInd/>
        <w:snapToGrid/>
        <w:spacing w:line="540" w:lineRule="exact"/>
        <w:ind w:right="1440" w:rightChars="450"/>
        <w:jc w:val="right"/>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泉州市自然资源和规划局</w:t>
      </w:r>
    </w:p>
    <w:p>
      <w:pPr>
        <w:keepNext w:val="0"/>
        <w:keepLines w:val="0"/>
        <w:pageBreakBefore w:val="0"/>
        <w:kinsoku/>
        <w:wordWrap/>
        <w:overflowPunct/>
        <w:topLinePunct w:val="0"/>
        <w:autoSpaceDE/>
        <w:autoSpaceDN/>
        <w:bidi w:val="0"/>
        <w:adjustRightInd/>
        <w:snapToGrid/>
        <w:spacing w:line="540" w:lineRule="exact"/>
        <w:ind w:right="1920" w:rightChars="600"/>
        <w:jc w:val="right"/>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8</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6</w:t>
      </w:r>
      <w:r>
        <w:rPr>
          <w:rFonts w:hint="default" w:ascii="Times New Roman" w:hAnsi="Times New Roman" w:eastAsia="仿宋_GB2312" w:cs="Times New Roman"/>
          <w:color w:val="auto"/>
          <w:szCs w:val="32"/>
        </w:rPr>
        <w:t>日</w:t>
      </w:r>
    </w:p>
    <w:sectPr>
      <w:headerReference r:id="rId3" w:type="default"/>
      <w:footerReference r:id="rId4" w:type="default"/>
      <w:footerReference r:id="rId5" w:type="even"/>
      <w:pgSz w:w="11907" w:h="16840"/>
      <w:pgMar w:top="1361" w:right="1588" w:bottom="1361"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12</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E1CE8"/>
    <w:multiLevelType w:val="singleLevel"/>
    <w:tmpl w:val="627E1CE8"/>
    <w:lvl w:ilvl="0" w:tentative="0">
      <w:start w:val="8"/>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5"/>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1"/>
  </w:compat>
  <w:docVars>
    <w:docVar w:name="commondata" w:val="eyJoZGlkIjoiZTU2N2M0YmZlOTJhYzVjNzZkYzBkOTkxMDVkYzE3YWIifQ=="/>
  </w:docVars>
  <w:rsids>
    <w:rsidRoot w:val="00172A27"/>
    <w:rsid w:val="000016B5"/>
    <w:rsid w:val="00002AE4"/>
    <w:rsid w:val="00003F9E"/>
    <w:rsid w:val="00006DED"/>
    <w:rsid w:val="00007284"/>
    <w:rsid w:val="00012B7E"/>
    <w:rsid w:val="000272FE"/>
    <w:rsid w:val="00051E2B"/>
    <w:rsid w:val="00053184"/>
    <w:rsid w:val="00060A41"/>
    <w:rsid w:val="00061BAA"/>
    <w:rsid w:val="00064935"/>
    <w:rsid w:val="00067D9D"/>
    <w:rsid w:val="00074FD8"/>
    <w:rsid w:val="000774AA"/>
    <w:rsid w:val="00084A5C"/>
    <w:rsid w:val="000904C3"/>
    <w:rsid w:val="00094F09"/>
    <w:rsid w:val="00096AE8"/>
    <w:rsid w:val="00097F91"/>
    <w:rsid w:val="000B3E98"/>
    <w:rsid w:val="000B4D15"/>
    <w:rsid w:val="000C1454"/>
    <w:rsid w:val="000C1A61"/>
    <w:rsid w:val="000C6FCF"/>
    <w:rsid w:val="000D514D"/>
    <w:rsid w:val="000D619C"/>
    <w:rsid w:val="000E5F80"/>
    <w:rsid w:val="000F39AF"/>
    <w:rsid w:val="000F404B"/>
    <w:rsid w:val="00102501"/>
    <w:rsid w:val="00110003"/>
    <w:rsid w:val="0011133B"/>
    <w:rsid w:val="00124387"/>
    <w:rsid w:val="00136FC0"/>
    <w:rsid w:val="00146076"/>
    <w:rsid w:val="00153487"/>
    <w:rsid w:val="00160731"/>
    <w:rsid w:val="001670DB"/>
    <w:rsid w:val="001710EB"/>
    <w:rsid w:val="00172A27"/>
    <w:rsid w:val="001757A6"/>
    <w:rsid w:val="001853DC"/>
    <w:rsid w:val="001A2265"/>
    <w:rsid w:val="001A61BA"/>
    <w:rsid w:val="001B42D1"/>
    <w:rsid w:val="001B4331"/>
    <w:rsid w:val="001C2F79"/>
    <w:rsid w:val="001D7278"/>
    <w:rsid w:val="001E7468"/>
    <w:rsid w:val="001F4A16"/>
    <w:rsid w:val="002079B1"/>
    <w:rsid w:val="00214E0A"/>
    <w:rsid w:val="002153C7"/>
    <w:rsid w:val="00215564"/>
    <w:rsid w:val="00217409"/>
    <w:rsid w:val="00222FA8"/>
    <w:rsid w:val="00230213"/>
    <w:rsid w:val="00230EA6"/>
    <w:rsid w:val="002310EC"/>
    <w:rsid w:val="002640EE"/>
    <w:rsid w:val="002641D3"/>
    <w:rsid w:val="00265439"/>
    <w:rsid w:val="002701FA"/>
    <w:rsid w:val="002747E3"/>
    <w:rsid w:val="00287634"/>
    <w:rsid w:val="00297A19"/>
    <w:rsid w:val="002A493F"/>
    <w:rsid w:val="002A62DB"/>
    <w:rsid w:val="002B0B0C"/>
    <w:rsid w:val="002B1A68"/>
    <w:rsid w:val="002B2DAB"/>
    <w:rsid w:val="002B5E05"/>
    <w:rsid w:val="002C2C99"/>
    <w:rsid w:val="002C4BE5"/>
    <w:rsid w:val="002C622F"/>
    <w:rsid w:val="002D4747"/>
    <w:rsid w:val="002D60EF"/>
    <w:rsid w:val="002D6203"/>
    <w:rsid w:val="002E3F49"/>
    <w:rsid w:val="002F405D"/>
    <w:rsid w:val="002F61D2"/>
    <w:rsid w:val="00305481"/>
    <w:rsid w:val="00306D3C"/>
    <w:rsid w:val="003137B2"/>
    <w:rsid w:val="00314E95"/>
    <w:rsid w:val="00351390"/>
    <w:rsid w:val="00355A1D"/>
    <w:rsid w:val="00370D21"/>
    <w:rsid w:val="00371488"/>
    <w:rsid w:val="00374ED8"/>
    <w:rsid w:val="0038165A"/>
    <w:rsid w:val="003824A3"/>
    <w:rsid w:val="003834BA"/>
    <w:rsid w:val="00387C74"/>
    <w:rsid w:val="0039207F"/>
    <w:rsid w:val="00392175"/>
    <w:rsid w:val="003963F2"/>
    <w:rsid w:val="003A1A81"/>
    <w:rsid w:val="003B178E"/>
    <w:rsid w:val="003B4A36"/>
    <w:rsid w:val="003C3F2E"/>
    <w:rsid w:val="003E153A"/>
    <w:rsid w:val="00400F82"/>
    <w:rsid w:val="004013BA"/>
    <w:rsid w:val="00402C58"/>
    <w:rsid w:val="004218FA"/>
    <w:rsid w:val="00423CC5"/>
    <w:rsid w:val="00427340"/>
    <w:rsid w:val="0043783F"/>
    <w:rsid w:val="00451A04"/>
    <w:rsid w:val="00451F9D"/>
    <w:rsid w:val="00453EA0"/>
    <w:rsid w:val="00457BD4"/>
    <w:rsid w:val="00464212"/>
    <w:rsid w:val="00467C69"/>
    <w:rsid w:val="00481B90"/>
    <w:rsid w:val="00485D35"/>
    <w:rsid w:val="00493284"/>
    <w:rsid w:val="004A1CEF"/>
    <w:rsid w:val="004A4BEC"/>
    <w:rsid w:val="004B5414"/>
    <w:rsid w:val="004B60CB"/>
    <w:rsid w:val="004B7414"/>
    <w:rsid w:val="004D3197"/>
    <w:rsid w:val="004D3A9A"/>
    <w:rsid w:val="004D41A8"/>
    <w:rsid w:val="004E27FE"/>
    <w:rsid w:val="004E2A53"/>
    <w:rsid w:val="004E5A54"/>
    <w:rsid w:val="004F0E5A"/>
    <w:rsid w:val="004F183F"/>
    <w:rsid w:val="004F6EA6"/>
    <w:rsid w:val="004F74E4"/>
    <w:rsid w:val="00511B4C"/>
    <w:rsid w:val="00511D8D"/>
    <w:rsid w:val="0051676C"/>
    <w:rsid w:val="00516D6D"/>
    <w:rsid w:val="005246B4"/>
    <w:rsid w:val="00526255"/>
    <w:rsid w:val="00543140"/>
    <w:rsid w:val="0055068E"/>
    <w:rsid w:val="00572368"/>
    <w:rsid w:val="00575E9F"/>
    <w:rsid w:val="0059156B"/>
    <w:rsid w:val="00592315"/>
    <w:rsid w:val="00596AB6"/>
    <w:rsid w:val="005A5125"/>
    <w:rsid w:val="005B129B"/>
    <w:rsid w:val="005B567F"/>
    <w:rsid w:val="005C20A2"/>
    <w:rsid w:val="005C6B66"/>
    <w:rsid w:val="005E0CE7"/>
    <w:rsid w:val="005E1122"/>
    <w:rsid w:val="00613A38"/>
    <w:rsid w:val="0062295C"/>
    <w:rsid w:val="006329ED"/>
    <w:rsid w:val="00632C44"/>
    <w:rsid w:val="00640608"/>
    <w:rsid w:val="00653AF0"/>
    <w:rsid w:val="006631F0"/>
    <w:rsid w:val="006707B2"/>
    <w:rsid w:val="00683026"/>
    <w:rsid w:val="00683205"/>
    <w:rsid w:val="00686CD9"/>
    <w:rsid w:val="00686CF6"/>
    <w:rsid w:val="006967D7"/>
    <w:rsid w:val="006A1A28"/>
    <w:rsid w:val="006A31F2"/>
    <w:rsid w:val="006B0619"/>
    <w:rsid w:val="006C2892"/>
    <w:rsid w:val="006D34BF"/>
    <w:rsid w:val="006D4A66"/>
    <w:rsid w:val="006D688E"/>
    <w:rsid w:val="00713120"/>
    <w:rsid w:val="00713844"/>
    <w:rsid w:val="0072372E"/>
    <w:rsid w:val="0073786C"/>
    <w:rsid w:val="0074100E"/>
    <w:rsid w:val="00755099"/>
    <w:rsid w:val="00756046"/>
    <w:rsid w:val="00757C1E"/>
    <w:rsid w:val="007749B1"/>
    <w:rsid w:val="00777879"/>
    <w:rsid w:val="00792D1B"/>
    <w:rsid w:val="007A4CFE"/>
    <w:rsid w:val="007B2736"/>
    <w:rsid w:val="007C094E"/>
    <w:rsid w:val="007C184C"/>
    <w:rsid w:val="007D2FA5"/>
    <w:rsid w:val="007E0CAE"/>
    <w:rsid w:val="007F5702"/>
    <w:rsid w:val="00800474"/>
    <w:rsid w:val="00802BAD"/>
    <w:rsid w:val="00814BC0"/>
    <w:rsid w:val="00820B13"/>
    <w:rsid w:val="00822D00"/>
    <w:rsid w:val="00825984"/>
    <w:rsid w:val="00831E36"/>
    <w:rsid w:val="00847922"/>
    <w:rsid w:val="00850065"/>
    <w:rsid w:val="008517E3"/>
    <w:rsid w:val="0085420B"/>
    <w:rsid w:val="00863E20"/>
    <w:rsid w:val="008841F6"/>
    <w:rsid w:val="00887210"/>
    <w:rsid w:val="00894E0F"/>
    <w:rsid w:val="00896A2D"/>
    <w:rsid w:val="008B2511"/>
    <w:rsid w:val="008D158E"/>
    <w:rsid w:val="008E5CE5"/>
    <w:rsid w:val="008F0766"/>
    <w:rsid w:val="008F4899"/>
    <w:rsid w:val="008F7A37"/>
    <w:rsid w:val="009019DF"/>
    <w:rsid w:val="0090207D"/>
    <w:rsid w:val="00920F22"/>
    <w:rsid w:val="00924A79"/>
    <w:rsid w:val="00935354"/>
    <w:rsid w:val="00935CB2"/>
    <w:rsid w:val="00937CF1"/>
    <w:rsid w:val="009422A5"/>
    <w:rsid w:val="00952239"/>
    <w:rsid w:val="00962E9F"/>
    <w:rsid w:val="00971A9D"/>
    <w:rsid w:val="009821CA"/>
    <w:rsid w:val="00983497"/>
    <w:rsid w:val="009841CB"/>
    <w:rsid w:val="0099290B"/>
    <w:rsid w:val="00993E9B"/>
    <w:rsid w:val="009B20A3"/>
    <w:rsid w:val="009B59AB"/>
    <w:rsid w:val="009C409C"/>
    <w:rsid w:val="009C4DB3"/>
    <w:rsid w:val="009C54AE"/>
    <w:rsid w:val="009D435F"/>
    <w:rsid w:val="009E0DC7"/>
    <w:rsid w:val="009E534C"/>
    <w:rsid w:val="009F129C"/>
    <w:rsid w:val="00A02AA7"/>
    <w:rsid w:val="00A04F8C"/>
    <w:rsid w:val="00A06BDB"/>
    <w:rsid w:val="00A07EAD"/>
    <w:rsid w:val="00A20C13"/>
    <w:rsid w:val="00A35F0D"/>
    <w:rsid w:val="00A47C95"/>
    <w:rsid w:val="00A51B92"/>
    <w:rsid w:val="00A638D9"/>
    <w:rsid w:val="00A71DB3"/>
    <w:rsid w:val="00A94A16"/>
    <w:rsid w:val="00AA65C2"/>
    <w:rsid w:val="00AC1FCD"/>
    <w:rsid w:val="00AD702F"/>
    <w:rsid w:val="00AD7B4E"/>
    <w:rsid w:val="00AE5BED"/>
    <w:rsid w:val="00AF5B6E"/>
    <w:rsid w:val="00AF7651"/>
    <w:rsid w:val="00B06973"/>
    <w:rsid w:val="00B132D7"/>
    <w:rsid w:val="00B25F0C"/>
    <w:rsid w:val="00B27BF3"/>
    <w:rsid w:val="00B31F50"/>
    <w:rsid w:val="00B41844"/>
    <w:rsid w:val="00B4347F"/>
    <w:rsid w:val="00B638CC"/>
    <w:rsid w:val="00B80B67"/>
    <w:rsid w:val="00BA0963"/>
    <w:rsid w:val="00BA0DB2"/>
    <w:rsid w:val="00BA2D61"/>
    <w:rsid w:val="00BA6B08"/>
    <w:rsid w:val="00BB0A74"/>
    <w:rsid w:val="00BC044D"/>
    <w:rsid w:val="00BC1079"/>
    <w:rsid w:val="00BD7737"/>
    <w:rsid w:val="00BE5931"/>
    <w:rsid w:val="00BE5A94"/>
    <w:rsid w:val="00C058D9"/>
    <w:rsid w:val="00C119BB"/>
    <w:rsid w:val="00C31BA7"/>
    <w:rsid w:val="00C31C32"/>
    <w:rsid w:val="00C40B94"/>
    <w:rsid w:val="00C41A28"/>
    <w:rsid w:val="00C46747"/>
    <w:rsid w:val="00C503D2"/>
    <w:rsid w:val="00C53A6B"/>
    <w:rsid w:val="00C84B93"/>
    <w:rsid w:val="00C979BC"/>
    <w:rsid w:val="00CA1CD9"/>
    <w:rsid w:val="00CA48D8"/>
    <w:rsid w:val="00CA624D"/>
    <w:rsid w:val="00CA6C71"/>
    <w:rsid w:val="00CB24B8"/>
    <w:rsid w:val="00CD5A27"/>
    <w:rsid w:val="00CE77D0"/>
    <w:rsid w:val="00CF360E"/>
    <w:rsid w:val="00CF5063"/>
    <w:rsid w:val="00CF56D1"/>
    <w:rsid w:val="00CF5A47"/>
    <w:rsid w:val="00CF5F4A"/>
    <w:rsid w:val="00D06D8C"/>
    <w:rsid w:val="00D10EB0"/>
    <w:rsid w:val="00D17799"/>
    <w:rsid w:val="00D25967"/>
    <w:rsid w:val="00D25DC0"/>
    <w:rsid w:val="00D26820"/>
    <w:rsid w:val="00D278BF"/>
    <w:rsid w:val="00D304E2"/>
    <w:rsid w:val="00D3252E"/>
    <w:rsid w:val="00D33604"/>
    <w:rsid w:val="00D45A0E"/>
    <w:rsid w:val="00D53E6B"/>
    <w:rsid w:val="00D72D0D"/>
    <w:rsid w:val="00D87F25"/>
    <w:rsid w:val="00D90B10"/>
    <w:rsid w:val="00D945ED"/>
    <w:rsid w:val="00D948CE"/>
    <w:rsid w:val="00D94B4A"/>
    <w:rsid w:val="00DA4E52"/>
    <w:rsid w:val="00DB6094"/>
    <w:rsid w:val="00DB60BB"/>
    <w:rsid w:val="00DD5681"/>
    <w:rsid w:val="00DF14C6"/>
    <w:rsid w:val="00DF22CE"/>
    <w:rsid w:val="00DF2896"/>
    <w:rsid w:val="00E00097"/>
    <w:rsid w:val="00E00A6D"/>
    <w:rsid w:val="00E1234A"/>
    <w:rsid w:val="00E3095C"/>
    <w:rsid w:val="00E30B3F"/>
    <w:rsid w:val="00E36D01"/>
    <w:rsid w:val="00E473EB"/>
    <w:rsid w:val="00E57CE8"/>
    <w:rsid w:val="00E631B1"/>
    <w:rsid w:val="00E63D2F"/>
    <w:rsid w:val="00E728FF"/>
    <w:rsid w:val="00E84CD3"/>
    <w:rsid w:val="00E86714"/>
    <w:rsid w:val="00E87845"/>
    <w:rsid w:val="00E9243E"/>
    <w:rsid w:val="00EA1A86"/>
    <w:rsid w:val="00EA7921"/>
    <w:rsid w:val="00EC40B9"/>
    <w:rsid w:val="00ED3292"/>
    <w:rsid w:val="00ED52FA"/>
    <w:rsid w:val="00EE6903"/>
    <w:rsid w:val="00EF11C3"/>
    <w:rsid w:val="00EF6658"/>
    <w:rsid w:val="00F03043"/>
    <w:rsid w:val="00F05F6E"/>
    <w:rsid w:val="00F13C00"/>
    <w:rsid w:val="00F32C7A"/>
    <w:rsid w:val="00F34FF9"/>
    <w:rsid w:val="00F41DC9"/>
    <w:rsid w:val="00F44D61"/>
    <w:rsid w:val="00F45686"/>
    <w:rsid w:val="00F5404E"/>
    <w:rsid w:val="00F63CF4"/>
    <w:rsid w:val="00F8173E"/>
    <w:rsid w:val="00F914F5"/>
    <w:rsid w:val="00F95305"/>
    <w:rsid w:val="00FA22AF"/>
    <w:rsid w:val="00FB0A85"/>
    <w:rsid w:val="00FC5629"/>
    <w:rsid w:val="00FE7CC7"/>
    <w:rsid w:val="00FF0D97"/>
    <w:rsid w:val="00FF54F2"/>
    <w:rsid w:val="00FF7CF7"/>
    <w:rsid w:val="02EC2A1F"/>
    <w:rsid w:val="03D0075A"/>
    <w:rsid w:val="060058D9"/>
    <w:rsid w:val="06A8246B"/>
    <w:rsid w:val="076B4F50"/>
    <w:rsid w:val="0A050A0A"/>
    <w:rsid w:val="105D2635"/>
    <w:rsid w:val="10801B04"/>
    <w:rsid w:val="13867A9F"/>
    <w:rsid w:val="145B04CE"/>
    <w:rsid w:val="14C702EB"/>
    <w:rsid w:val="157435CA"/>
    <w:rsid w:val="15956862"/>
    <w:rsid w:val="17646D55"/>
    <w:rsid w:val="17861AEB"/>
    <w:rsid w:val="185C25B1"/>
    <w:rsid w:val="1AB322F0"/>
    <w:rsid w:val="1F351FAF"/>
    <w:rsid w:val="1F86792F"/>
    <w:rsid w:val="1FF746DA"/>
    <w:rsid w:val="20772D49"/>
    <w:rsid w:val="20B024A1"/>
    <w:rsid w:val="25205CF8"/>
    <w:rsid w:val="25E129FE"/>
    <w:rsid w:val="29535BBE"/>
    <w:rsid w:val="2BD42381"/>
    <w:rsid w:val="2CED06D8"/>
    <w:rsid w:val="2E9F243D"/>
    <w:rsid w:val="2EE17814"/>
    <w:rsid w:val="2FEF7D77"/>
    <w:rsid w:val="31417311"/>
    <w:rsid w:val="3566232B"/>
    <w:rsid w:val="39DD2AC7"/>
    <w:rsid w:val="3A314ED2"/>
    <w:rsid w:val="3A7D040E"/>
    <w:rsid w:val="3B0E44F4"/>
    <w:rsid w:val="3B7FC157"/>
    <w:rsid w:val="3D15067F"/>
    <w:rsid w:val="3DB14890"/>
    <w:rsid w:val="3E8C3A26"/>
    <w:rsid w:val="3F5FF36E"/>
    <w:rsid w:val="3F73645C"/>
    <w:rsid w:val="3FB73CFF"/>
    <w:rsid w:val="3FFF14EC"/>
    <w:rsid w:val="412A0477"/>
    <w:rsid w:val="42041D48"/>
    <w:rsid w:val="42836080"/>
    <w:rsid w:val="45D07A7B"/>
    <w:rsid w:val="45FB48A4"/>
    <w:rsid w:val="47F4388A"/>
    <w:rsid w:val="48DB5365"/>
    <w:rsid w:val="48E2729B"/>
    <w:rsid w:val="4BDF7549"/>
    <w:rsid w:val="4DF37842"/>
    <w:rsid w:val="4E8015C3"/>
    <w:rsid w:val="4F46621E"/>
    <w:rsid w:val="4FEDCE04"/>
    <w:rsid w:val="53417DE8"/>
    <w:rsid w:val="537D4D10"/>
    <w:rsid w:val="545D6861"/>
    <w:rsid w:val="551E49A7"/>
    <w:rsid w:val="565C1810"/>
    <w:rsid w:val="58805E0B"/>
    <w:rsid w:val="58E542B1"/>
    <w:rsid w:val="59FFFD36"/>
    <w:rsid w:val="5A100A69"/>
    <w:rsid w:val="5AC66E6D"/>
    <w:rsid w:val="5C2F2B85"/>
    <w:rsid w:val="5C8143B3"/>
    <w:rsid w:val="5C99BAAC"/>
    <w:rsid w:val="5CCEE906"/>
    <w:rsid w:val="5D711BC1"/>
    <w:rsid w:val="5DC00719"/>
    <w:rsid w:val="5E6370DC"/>
    <w:rsid w:val="5E7210B7"/>
    <w:rsid w:val="5EBE1F44"/>
    <w:rsid w:val="5EF61BEE"/>
    <w:rsid w:val="5FFCDEF8"/>
    <w:rsid w:val="5FFE5D64"/>
    <w:rsid w:val="61E31F82"/>
    <w:rsid w:val="623173B1"/>
    <w:rsid w:val="627AADA0"/>
    <w:rsid w:val="64B6114A"/>
    <w:rsid w:val="654D6D68"/>
    <w:rsid w:val="67835892"/>
    <w:rsid w:val="69021880"/>
    <w:rsid w:val="69287FF9"/>
    <w:rsid w:val="69BA7FBC"/>
    <w:rsid w:val="69EF4473"/>
    <w:rsid w:val="69F5315F"/>
    <w:rsid w:val="6C5E3ED7"/>
    <w:rsid w:val="6D601559"/>
    <w:rsid w:val="6DC95D5B"/>
    <w:rsid w:val="6F4A2587"/>
    <w:rsid w:val="6F565F34"/>
    <w:rsid w:val="6F817756"/>
    <w:rsid w:val="6FBBBABD"/>
    <w:rsid w:val="706C57A0"/>
    <w:rsid w:val="70856287"/>
    <w:rsid w:val="71BFAB18"/>
    <w:rsid w:val="71CC5BD1"/>
    <w:rsid w:val="735B762D"/>
    <w:rsid w:val="73FF559C"/>
    <w:rsid w:val="73FF5AE4"/>
    <w:rsid w:val="75BE6923"/>
    <w:rsid w:val="75DE796D"/>
    <w:rsid w:val="761B3A3C"/>
    <w:rsid w:val="76F57795"/>
    <w:rsid w:val="772C6592"/>
    <w:rsid w:val="7BF7CC0B"/>
    <w:rsid w:val="7BFD8D70"/>
    <w:rsid w:val="7C614DBC"/>
    <w:rsid w:val="7CED3003"/>
    <w:rsid w:val="7CFE5411"/>
    <w:rsid w:val="7DC16531"/>
    <w:rsid w:val="7DFD2408"/>
    <w:rsid w:val="7E216D95"/>
    <w:rsid w:val="7F3C7C26"/>
    <w:rsid w:val="7FAFA16A"/>
    <w:rsid w:val="7FFD452B"/>
    <w:rsid w:val="95CDA3A5"/>
    <w:rsid w:val="ABFDFD6C"/>
    <w:rsid w:val="ADAD7FA1"/>
    <w:rsid w:val="AFFF219C"/>
    <w:rsid w:val="B6F5B665"/>
    <w:rsid w:val="B7DB20F6"/>
    <w:rsid w:val="BD3B2D74"/>
    <w:rsid w:val="BEE466A8"/>
    <w:rsid w:val="C77BCFBB"/>
    <w:rsid w:val="CDDBF24C"/>
    <w:rsid w:val="D7BBABC2"/>
    <w:rsid w:val="DD7C8DA1"/>
    <w:rsid w:val="EF9DD4E3"/>
    <w:rsid w:val="EFBF4B4D"/>
    <w:rsid w:val="F33752BE"/>
    <w:rsid w:val="F9D441FD"/>
    <w:rsid w:val="FAFE31B2"/>
    <w:rsid w:val="FB77F75A"/>
    <w:rsid w:val="FBBFE06A"/>
    <w:rsid w:val="FD9FE1A1"/>
    <w:rsid w:val="FED7EB8E"/>
    <w:rsid w:val="FFBF3B85"/>
    <w:rsid w:val="FFF7157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500" w:lineRule="exact"/>
    </w:pPr>
    <w:rPr>
      <w:sz w:val="30"/>
    </w:rPr>
  </w:style>
  <w:style w:type="paragraph" w:styleId="4">
    <w:name w:val="Body Text Indent"/>
    <w:basedOn w:val="1"/>
    <w:next w:val="5"/>
    <w:qFormat/>
    <w:uiPriority w:val="0"/>
    <w:pPr>
      <w:ind w:firstLine="640" w:firstLineChars="200"/>
    </w:pPr>
    <w:rPr>
      <w:rFonts w:eastAsia="仿宋_GB2312"/>
      <w:sz w:val="32"/>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Date"/>
    <w:basedOn w:val="1"/>
    <w:next w:val="1"/>
    <w:qFormat/>
    <w:uiPriority w:val="0"/>
    <w:pPr>
      <w:ind w:left="100" w:leftChars="2500"/>
    </w:pPr>
  </w:style>
  <w:style w:type="paragraph" w:styleId="7">
    <w:name w:val="Body Text Indent 2"/>
    <w:basedOn w:val="1"/>
    <w:qFormat/>
    <w:uiPriority w:val="0"/>
    <w:pPr>
      <w:ind w:firstLine="600"/>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Normal (Web)"/>
    <w:basedOn w:val="1"/>
    <w:unhideWhenUsed/>
    <w:qFormat/>
    <w:uiPriority w:val="0"/>
    <w:pPr>
      <w:spacing w:beforeAutospacing="1" w:afterAutospacing="1"/>
      <w:jc w:val="left"/>
    </w:pPr>
    <w:rPr>
      <w:sz w:val="24"/>
    </w:rPr>
  </w:style>
  <w:style w:type="paragraph" w:styleId="11">
    <w:name w:val="Body Text First Indent 2"/>
    <w:basedOn w:val="4"/>
    <w:qFormat/>
    <w:uiPriority w:val="99"/>
    <w:pPr>
      <w:ind w:firstLine="420" w:firstLineChars="200"/>
    </w:pPr>
  </w:style>
  <w:style w:type="table" w:styleId="13">
    <w:name w:val="Table Grid"/>
    <w:basedOn w:val="12"/>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qFormat/>
    <w:uiPriority w:val="0"/>
    <w:rPr>
      <w:color w:val="0000FF"/>
      <w:u w:val="single"/>
    </w:rPr>
  </w:style>
  <w:style w:type="paragraph" w:customStyle="1" w:styleId="17">
    <w:name w:val="Char"/>
    <w:basedOn w:val="1"/>
    <w:qFormat/>
    <w:uiPriority w:val="0"/>
  </w:style>
  <w:style w:type="paragraph" w:customStyle="1" w:styleId="18">
    <w:name w:val="_Style 3"/>
    <w:basedOn w:val="1"/>
    <w:qFormat/>
    <w:uiPriority w:val="0"/>
  </w:style>
  <w:style w:type="paragraph" w:customStyle="1" w:styleId="19">
    <w:name w:val="Char Char"/>
    <w:basedOn w:val="1"/>
    <w:qFormat/>
    <w:uiPriority w:val="0"/>
    <w:rPr>
      <w:rFonts w:ascii="Times New Roman" w:eastAsia="宋体"/>
      <w:color w:val="auto"/>
      <w:kern w:val="2"/>
      <w:sz w:val="21"/>
      <w:szCs w:val="24"/>
    </w:rPr>
  </w:style>
  <w:style w:type="paragraph" w:customStyle="1" w:styleId="20">
    <w:name w:val="Char Char8"/>
    <w:basedOn w:val="1"/>
    <w:qFormat/>
    <w:uiPriority w:val="0"/>
    <w:rPr>
      <w:rFonts w:ascii="Times New Roman" w:eastAsia="宋体"/>
      <w:color w:val="auto"/>
      <w:kern w:val="2"/>
      <w:sz w:val="21"/>
      <w:szCs w:val="24"/>
    </w:rPr>
  </w:style>
  <w:style w:type="paragraph" w:customStyle="1" w:styleId="21">
    <w:name w:val="Char1"/>
    <w:basedOn w:val="1"/>
    <w:qFormat/>
    <w:uiPriority w:val="0"/>
    <w:rPr>
      <w:rFonts w:ascii="Tahoma" w:hAnsi="Tahoma" w:eastAsia="宋体"/>
      <w:color w:val="auto"/>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dfdf</Company>
  <Pages>16</Pages>
  <Words>5718</Words>
  <Characters>6055</Characters>
  <Lines>45</Lines>
  <Paragraphs>12</Paragraphs>
  <TotalTime>1</TotalTime>
  <ScaleCrop>false</ScaleCrop>
  <LinksUpToDate>false</LinksUpToDate>
  <CharactersWithSpaces>6059</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2019-12-18T07:04:00Z</dcterms:created>
  <dc:creator>未羽</dc:creator>
  <cp:lastModifiedBy>user</cp:lastModifiedBy>
  <cp:lastPrinted>2025-06-28T23:07:00Z</cp:lastPrinted>
  <dcterms:modified xsi:type="dcterms:W3CDTF">2025-08-06T11:12:06Z</dcterms:modified>
  <dc:title>国有建设用地使用权拍卖出让须知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147DB053FB7B4A7CAC58A0FE60B8BF0F</vt:lpwstr>
  </property>
</Properties>
</file>