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08677">
      <w:pPr>
        <w:spacing w:line="520" w:lineRule="exact"/>
        <w:jc w:val="center"/>
        <w:rPr>
          <w:rFonts w:ascii="Times New Roman" w:eastAsia="方正小标宋简体"/>
          <w:bCs/>
          <w:color w:val="auto"/>
          <w:sz w:val="44"/>
          <w:szCs w:val="44"/>
        </w:rPr>
      </w:pPr>
      <w:r>
        <w:rPr>
          <w:rFonts w:hint="eastAsia" w:ascii="Times New Roman" w:eastAsia="汉仪大宋简"/>
          <w:color w:val="auto"/>
          <w:sz w:val="44"/>
          <w:szCs w:val="44"/>
        </w:rPr>
        <w:t>鲤202</w:t>
      </w:r>
      <w:r>
        <w:rPr>
          <w:rFonts w:hint="eastAsia" w:ascii="Times New Roman" w:eastAsia="汉仪大宋简"/>
          <w:color w:val="auto"/>
          <w:sz w:val="44"/>
          <w:szCs w:val="44"/>
          <w:lang w:val="en-US" w:eastAsia="zh-CN"/>
        </w:rPr>
        <w:t>4</w:t>
      </w:r>
      <w:r>
        <w:rPr>
          <w:rFonts w:hint="eastAsia" w:ascii="Times New Roman" w:eastAsia="汉仪大宋简"/>
          <w:color w:val="auto"/>
          <w:sz w:val="44"/>
          <w:szCs w:val="44"/>
        </w:rPr>
        <w:t>-</w:t>
      </w:r>
      <w:r>
        <w:rPr>
          <w:rFonts w:hint="eastAsia" w:ascii="Times New Roman" w:eastAsia="汉仪大宋简"/>
          <w:color w:val="auto"/>
          <w:sz w:val="44"/>
          <w:szCs w:val="44"/>
          <w:lang w:val="en-US" w:eastAsia="zh-CN"/>
        </w:rPr>
        <w:t>17</w:t>
      </w:r>
      <w:r>
        <w:rPr>
          <w:rFonts w:hint="eastAsia" w:ascii="Times New Roman" w:eastAsia="汉仪大宋简"/>
          <w:color w:val="auto"/>
          <w:sz w:val="44"/>
          <w:szCs w:val="44"/>
        </w:rPr>
        <w:t>号</w:t>
      </w:r>
      <w:r>
        <w:rPr>
          <w:rFonts w:hint="eastAsia" w:ascii="Times New Roman" w:eastAsia="汉仪大宋简"/>
          <w:color w:val="auto"/>
          <w:sz w:val="44"/>
          <w:szCs w:val="44"/>
          <w:lang w:eastAsia="zh-CN"/>
        </w:rPr>
        <w:t>、鲤</w:t>
      </w:r>
      <w:r>
        <w:rPr>
          <w:rFonts w:hint="eastAsia" w:ascii="Times New Roman" w:eastAsia="汉仪大宋简"/>
          <w:color w:val="auto"/>
          <w:sz w:val="44"/>
          <w:szCs w:val="44"/>
          <w:lang w:val="en-US" w:eastAsia="zh-CN"/>
        </w:rPr>
        <w:t>2024-19号</w:t>
      </w:r>
      <w:r>
        <w:rPr>
          <w:rFonts w:ascii="Times New Roman" w:eastAsia="方正小标宋简体"/>
          <w:bCs/>
          <w:color w:val="auto"/>
          <w:sz w:val="44"/>
          <w:szCs w:val="44"/>
        </w:rPr>
        <w:t>地块国有建设用地使用权拍卖出让须知</w:t>
      </w:r>
    </w:p>
    <w:p w14:paraId="2392BE7C">
      <w:pPr>
        <w:spacing w:line="520" w:lineRule="exact"/>
        <w:ind w:firstLine="643" w:firstLineChars="200"/>
        <w:rPr>
          <w:rFonts w:ascii="Times New Roman" w:eastAsia="仿宋"/>
          <w:b/>
          <w:color w:val="auto"/>
          <w:szCs w:val="32"/>
        </w:rPr>
      </w:pPr>
    </w:p>
    <w:p w14:paraId="7423EB87">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17</w:t>
      </w:r>
      <w:r>
        <w:rPr>
          <w:rFonts w:hint="eastAsia" w:ascii="仿宋_GB2312" w:hAnsi="仿宋_GB2312" w:eastAsia="仿宋_GB2312" w:cs="仿宋_GB2312"/>
          <w:color w:val="auto"/>
          <w:szCs w:val="32"/>
        </w:rPr>
        <w:t>号</w:t>
      </w:r>
      <w:r>
        <w:rPr>
          <w:rFonts w:hint="eastAsia" w:hAnsi="仿宋_GB2312" w:cs="仿宋_GB2312"/>
          <w:color w:val="auto"/>
          <w:szCs w:val="32"/>
          <w:lang w:eastAsia="zh-CN"/>
        </w:rPr>
        <w:t>、鲤</w:t>
      </w:r>
      <w:r>
        <w:rPr>
          <w:rFonts w:hint="eastAsia" w:hAnsi="仿宋_GB2312" w:cs="仿宋_GB2312"/>
          <w:color w:val="auto"/>
          <w:szCs w:val="32"/>
          <w:lang w:val="en-US" w:eastAsia="zh-CN"/>
        </w:rPr>
        <w:t>2024-19号</w:t>
      </w:r>
      <w:r>
        <w:rPr>
          <w:rFonts w:hint="eastAsia" w:ascii="仿宋_GB2312" w:hAnsi="仿宋_GB2312" w:eastAsia="仿宋_GB2312" w:cs="仿宋_GB2312"/>
          <w:color w:val="auto"/>
          <w:szCs w:val="32"/>
        </w:rPr>
        <w:t>地块国有建设用地使用权。</w:t>
      </w:r>
    </w:p>
    <w:p w14:paraId="05F2D1C9">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人的确认。拍卖出让过程委托公证机构进行公证。泉州市产权交易中心有限公司指定的从事拍卖活动的人员为拍卖工作人员。</w:t>
      </w:r>
    </w:p>
    <w:p w14:paraId="683B147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二、拍卖出让活动时间、地点</w:t>
      </w:r>
    </w:p>
    <w:p w14:paraId="568288EF">
      <w:pPr>
        <w:widowControl/>
        <w:spacing w:line="5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拍卖时间：202</w:t>
      </w:r>
      <w:r>
        <w:rPr>
          <w:rFonts w:hint="eastAsia" w:ascii="仿宋_GB2312" w:hAnsi="仿宋_GB2312" w:eastAsia="仿宋_GB2312" w:cs="仿宋_GB2312"/>
          <w:color w:val="auto"/>
          <w:sz w:val="30"/>
          <w:szCs w:val="30"/>
          <w:lang w:val="en-US" w:eastAsia="zh-CN"/>
        </w:rPr>
        <w:t>5</w:t>
      </w:r>
      <w:r>
        <w:rPr>
          <w:rFonts w:hint="eastAsia" w:ascii="仿宋_GB2312" w:hAnsi="仿宋_GB2312" w:eastAsia="仿宋_GB2312" w:cs="仿宋_GB2312"/>
          <w:color w:val="auto"/>
          <w:sz w:val="30"/>
          <w:szCs w:val="30"/>
        </w:rPr>
        <w:t>年</w:t>
      </w:r>
      <w:r>
        <w:rPr>
          <w:rFonts w:hint="eastAsia" w:hAnsi="仿宋_GB2312" w:cs="仿宋_GB2312"/>
          <w:color w:val="auto"/>
          <w:sz w:val="30"/>
          <w:szCs w:val="30"/>
          <w:lang w:val="en-US" w:eastAsia="zh-CN"/>
        </w:rPr>
        <w:t>10</w:t>
      </w:r>
      <w:r>
        <w:rPr>
          <w:rFonts w:hint="eastAsia" w:ascii="仿宋_GB2312" w:hAnsi="仿宋_GB2312" w:eastAsia="仿宋_GB2312" w:cs="仿宋_GB2312"/>
          <w:color w:val="auto"/>
          <w:sz w:val="30"/>
          <w:szCs w:val="30"/>
        </w:rPr>
        <w:t>月</w:t>
      </w:r>
      <w:r>
        <w:rPr>
          <w:rFonts w:hint="eastAsia" w:hAnsi="仿宋_GB2312" w:cs="仿宋_GB2312"/>
          <w:color w:val="auto"/>
          <w:sz w:val="30"/>
          <w:szCs w:val="30"/>
          <w:lang w:val="en-US" w:eastAsia="zh-CN"/>
        </w:rPr>
        <w:t>10</w:t>
      </w:r>
      <w:r>
        <w:rPr>
          <w:rFonts w:hint="eastAsia" w:ascii="仿宋_GB2312" w:hAnsi="仿宋_GB2312" w:eastAsia="仿宋_GB2312" w:cs="仿宋_GB2312"/>
          <w:color w:val="auto"/>
          <w:sz w:val="30"/>
          <w:szCs w:val="30"/>
        </w:rPr>
        <w:t>日9：00。</w:t>
      </w:r>
    </w:p>
    <w:p w14:paraId="2FC6E04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拍卖地点：泉州市政务服务中心（东海大厦）A幢442室（地址：泉州市丰泽区海星街100号）。</w:t>
      </w:r>
    </w:p>
    <w:p w14:paraId="24DE8693">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三、本次国有建设用地使用权拍卖出让按照价高者得的原则确定竞得人，不设保留价。</w:t>
      </w:r>
    </w:p>
    <w:p w14:paraId="527BB7B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四、出让地块的基本情况、规划指标和相关要求：</w:t>
      </w:r>
    </w:p>
    <w:p w14:paraId="17C468B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（一）地块的基本情况</w:t>
      </w:r>
    </w:p>
    <w:p w14:paraId="3286E443">
      <w:pPr>
        <w:spacing w:line="520" w:lineRule="exact"/>
        <w:ind w:firstLine="643" w:firstLineChars="200"/>
        <w:rPr>
          <w:rFonts w:hint="eastAsia" w:eastAsia="仿宋"/>
          <w:color w:val="000000"/>
          <w:sz w:val="32"/>
          <w:szCs w:val="32"/>
          <w:lang w:val="en-US" w:eastAsia="zh-CN"/>
        </w:rPr>
      </w:pPr>
      <w:r>
        <w:rPr>
          <w:rFonts w:hint="eastAsia" w:eastAsia="楷体_GB2312"/>
          <w:b/>
          <w:sz w:val="32"/>
          <w:szCs w:val="32"/>
          <w:lang w:val="en-US" w:eastAsia="zh-CN"/>
        </w:rPr>
        <w:t>（一）</w:t>
      </w:r>
      <w:r>
        <w:rPr>
          <w:rFonts w:hint="eastAsia" w:ascii="楷体_GB2312" w:hAnsi="黑体" w:eastAsia="楷体_GB2312" w:cs="黑体"/>
          <w:b/>
          <w:sz w:val="32"/>
          <w:szCs w:val="32"/>
          <w:lang w:eastAsia="zh-CN"/>
        </w:rPr>
        <w:t>鲤2024-1</w:t>
      </w:r>
      <w:r>
        <w:rPr>
          <w:rFonts w:hint="eastAsia" w:ascii="楷体_GB2312" w:hAnsi="黑体" w:eastAsia="楷体_GB2312" w:cs="黑体"/>
          <w:b/>
          <w:sz w:val="32"/>
          <w:szCs w:val="32"/>
          <w:lang w:val="en-US" w:eastAsia="zh-CN"/>
        </w:rPr>
        <w:t>7</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2025-29</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涂门街</w:t>
      </w:r>
      <w:r>
        <w:rPr>
          <w:rFonts w:hint="eastAsia" w:eastAsia="仿宋"/>
          <w:color w:val="000000"/>
          <w:sz w:val="32"/>
          <w:szCs w:val="32"/>
          <w:lang w:val="en-US" w:eastAsia="zh-CN"/>
        </w:rPr>
        <w:t>西侧</w:t>
      </w:r>
      <w:r>
        <w:rPr>
          <w:rFonts w:hint="eastAsia" w:eastAsia="仿宋"/>
          <w:color w:val="000000"/>
          <w:sz w:val="32"/>
          <w:szCs w:val="32"/>
        </w:rPr>
        <w:t>，</w:t>
      </w:r>
      <w:r>
        <w:rPr>
          <w:rFonts w:hint="eastAsia" w:eastAsia="方正仿宋简体"/>
          <w:color w:val="auto"/>
          <w:sz w:val="32"/>
          <w:szCs w:val="32"/>
        </w:rPr>
        <w:t>用地面积</w:t>
      </w:r>
      <w:r>
        <w:rPr>
          <w:rFonts w:hint="eastAsia" w:eastAsia="仿宋"/>
          <w:color w:val="000000"/>
          <w:sz w:val="32"/>
          <w:szCs w:val="32"/>
          <w:lang w:val="zh-CN"/>
        </w:rPr>
        <w:t>为</w:t>
      </w:r>
      <w:r>
        <w:rPr>
          <w:rFonts w:hint="eastAsia" w:eastAsia="仿宋"/>
          <w:color w:val="000000"/>
          <w:sz w:val="32"/>
          <w:szCs w:val="32"/>
          <w:lang w:val="en-US" w:eastAsia="zh-CN"/>
        </w:rPr>
        <w:t>1009.62平方米（约合1.51亩）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旅馆用地</w:t>
      </w:r>
      <w:r>
        <w:rPr>
          <w:rFonts w:hint="eastAsia" w:eastAsia="仿宋"/>
          <w:color w:val="000000"/>
          <w:sz w:val="32"/>
          <w:szCs w:val="32"/>
        </w:rPr>
        <w:t>。主要技术指标：容积率</w:t>
      </w:r>
      <w:r>
        <w:rPr>
          <w:rFonts w:hint="eastAsia" w:eastAsia="仿宋"/>
          <w:color w:val="000000"/>
          <w:sz w:val="32"/>
          <w:szCs w:val="32"/>
          <w:lang w:val="en-US" w:eastAsia="zh-CN"/>
        </w:rPr>
        <w:t>2.2以下</w:t>
      </w:r>
      <w:r>
        <w:rPr>
          <w:rFonts w:hint="eastAsia" w:eastAsia="仿宋"/>
          <w:color w:val="000000"/>
          <w:sz w:val="32"/>
          <w:szCs w:val="32"/>
        </w:rPr>
        <w:t>，建筑密度</w:t>
      </w:r>
      <w:r>
        <w:rPr>
          <w:rFonts w:hint="eastAsia" w:eastAsia="仿宋"/>
          <w:color w:val="000000"/>
          <w:sz w:val="32"/>
          <w:szCs w:val="32"/>
          <w:lang w:val="en-US" w:eastAsia="zh-CN"/>
        </w:rPr>
        <w:t>45</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18</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val="zh-CN"/>
        </w:rPr>
        <w:t>旅馆及其配套设施</w:t>
      </w:r>
      <w:r>
        <w:rPr>
          <w:rFonts w:hint="eastAsia" w:eastAsia="仿宋"/>
          <w:color w:val="000000"/>
          <w:sz w:val="32"/>
          <w:szCs w:val="32"/>
          <w:lang w:val="en-US" w:eastAsia="zh-CN"/>
        </w:rPr>
        <w:t>。</w:t>
      </w:r>
    </w:p>
    <w:p w14:paraId="57C0DF4C">
      <w:pPr>
        <w:spacing w:line="580" w:lineRule="exact"/>
        <w:ind w:firstLine="643" w:firstLineChars="200"/>
        <w:rPr>
          <w:rFonts w:hint="eastAsia" w:ascii="仿宋_GB2312" w:hAnsi="仿宋_GB2312" w:eastAsia="仿宋_GB2312" w:cs="仿宋_GB2312"/>
          <w:color w:val="auto"/>
          <w:szCs w:val="32"/>
        </w:rPr>
      </w:pPr>
      <w:r>
        <w:rPr>
          <w:rFonts w:hint="eastAsia" w:eastAsia="楷体_GB2312"/>
          <w:b/>
          <w:sz w:val="32"/>
          <w:szCs w:val="32"/>
          <w:lang w:val="en-US" w:eastAsia="zh-CN"/>
        </w:rPr>
        <w:t>（二）</w:t>
      </w:r>
      <w:r>
        <w:rPr>
          <w:rFonts w:hint="eastAsia" w:ascii="楷体_GB2312" w:hAnsi="黑体" w:eastAsia="楷体_GB2312" w:cs="黑体"/>
          <w:b/>
          <w:sz w:val="32"/>
          <w:szCs w:val="32"/>
          <w:lang w:eastAsia="zh-CN"/>
        </w:rPr>
        <w:t>鲤2024-1</w:t>
      </w:r>
      <w:r>
        <w:rPr>
          <w:rFonts w:hint="eastAsia" w:ascii="楷体_GB2312" w:hAnsi="黑体" w:eastAsia="楷体_GB2312" w:cs="黑体"/>
          <w:b/>
          <w:sz w:val="32"/>
          <w:szCs w:val="32"/>
          <w:lang w:val="en-US" w:eastAsia="zh-CN"/>
        </w:rPr>
        <w:t>9</w:t>
      </w:r>
      <w:r>
        <w:rPr>
          <w:rFonts w:hint="eastAsia" w:ascii="楷体_GB2312" w:hAnsi="黑体" w:eastAsia="楷体_GB2312" w:cs="黑体"/>
          <w:b/>
          <w:sz w:val="32"/>
          <w:szCs w:val="32"/>
          <w:lang w:eastAsia="zh-CN"/>
        </w:rPr>
        <w:t>号地块。</w:t>
      </w:r>
      <w:r>
        <w:rPr>
          <w:rFonts w:eastAsia="仿宋_GB2312"/>
          <w:sz w:val="32"/>
          <w:szCs w:val="32"/>
        </w:rPr>
        <w:t>该宗地即</w:t>
      </w:r>
      <w:r>
        <w:rPr>
          <w:rFonts w:hint="eastAsia" w:eastAsia="仿宋_GB2312"/>
          <w:sz w:val="32"/>
          <w:szCs w:val="32"/>
          <w:lang w:val="en-US" w:eastAsia="zh-CN"/>
        </w:rPr>
        <w:t>2025-27</w:t>
      </w:r>
      <w:r>
        <w:rPr>
          <w:rFonts w:eastAsia="仿宋_GB2312"/>
          <w:sz w:val="32"/>
          <w:szCs w:val="32"/>
        </w:rPr>
        <w:t>号储备用地，</w:t>
      </w:r>
      <w:r>
        <w:rPr>
          <w:rFonts w:hint="eastAsia" w:eastAsia="仿宋"/>
          <w:color w:val="000000"/>
          <w:sz w:val="32"/>
          <w:szCs w:val="32"/>
        </w:rPr>
        <w:t>该宗地位于鲤城区</w:t>
      </w:r>
      <w:r>
        <w:rPr>
          <w:rFonts w:hint="eastAsia" w:eastAsia="仿宋"/>
          <w:color w:val="000000"/>
          <w:sz w:val="32"/>
          <w:szCs w:val="32"/>
          <w:lang w:eastAsia="zh-CN"/>
        </w:rPr>
        <w:t>西街西侧</w:t>
      </w:r>
      <w:r>
        <w:rPr>
          <w:rFonts w:hint="eastAsia" w:eastAsia="仿宋"/>
          <w:color w:val="000000"/>
          <w:sz w:val="32"/>
          <w:szCs w:val="32"/>
        </w:rPr>
        <w:t>，</w:t>
      </w:r>
      <w:r>
        <w:rPr>
          <w:rFonts w:hint="eastAsia" w:eastAsia="方正仿宋简体"/>
          <w:color w:val="auto"/>
          <w:sz w:val="32"/>
          <w:szCs w:val="32"/>
        </w:rPr>
        <w:t>用地面积为</w:t>
      </w:r>
      <w:r>
        <w:rPr>
          <w:rFonts w:hint="eastAsia" w:eastAsia="仿宋"/>
          <w:color w:val="000000"/>
          <w:sz w:val="32"/>
          <w:szCs w:val="32"/>
          <w:lang w:val="en-US" w:eastAsia="zh-CN"/>
        </w:rPr>
        <w:t>31848.6</w:t>
      </w:r>
      <w:r>
        <w:rPr>
          <w:rFonts w:hint="eastAsia" w:eastAsia="仿宋"/>
          <w:color w:val="000000"/>
          <w:sz w:val="32"/>
          <w:szCs w:val="32"/>
          <w:lang w:val="zh-CN"/>
        </w:rPr>
        <w:t>平方米（约合</w:t>
      </w:r>
      <w:r>
        <w:rPr>
          <w:rFonts w:hint="eastAsia" w:eastAsia="仿宋"/>
          <w:color w:val="000000"/>
          <w:sz w:val="32"/>
          <w:szCs w:val="32"/>
          <w:lang w:val="en-US" w:eastAsia="zh-CN"/>
        </w:rPr>
        <w:t>47.77</w:t>
      </w:r>
      <w:r>
        <w:rPr>
          <w:rFonts w:hint="eastAsia" w:eastAsia="仿宋"/>
          <w:color w:val="000000"/>
          <w:sz w:val="32"/>
          <w:szCs w:val="32"/>
          <w:lang w:val="zh-CN"/>
        </w:rPr>
        <w:t>亩）</w:t>
      </w:r>
      <w:r>
        <w:rPr>
          <w:rFonts w:hint="eastAsia" w:eastAsia="仿宋"/>
          <w:color w:val="000000"/>
          <w:sz w:val="32"/>
          <w:szCs w:val="32"/>
        </w:rPr>
        <w:t>。规划用途</w:t>
      </w:r>
      <w:r>
        <w:rPr>
          <w:rFonts w:hint="eastAsia" w:eastAsia="仿宋"/>
          <w:color w:val="000000"/>
          <w:sz w:val="32"/>
          <w:szCs w:val="32"/>
          <w:lang w:val="en-US" w:eastAsia="zh-CN"/>
        </w:rPr>
        <w:t>为</w:t>
      </w:r>
      <w:r>
        <w:rPr>
          <w:rFonts w:hint="eastAsia" w:eastAsia="仿宋"/>
          <w:color w:val="000000"/>
          <w:sz w:val="32"/>
          <w:szCs w:val="32"/>
          <w:lang w:eastAsia="zh-CN"/>
        </w:rPr>
        <w:t>商业商务及其他商服用地</w:t>
      </w:r>
      <w:r>
        <w:rPr>
          <w:rFonts w:hint="eastAsia" w:eastAsia="仿宋"/>
          <w:color w:val="000000"/>
          <w:sz w:val="32"/>
          <w:szCs w:val="32"/>
        </w:rPr>
        <w:t>。主要技术指标：容积率</w:t>
      </w:r>
      <w:r>
        <w:rPr>
          <w:rFonts w:hint="eastAsia" w:eastAsia="仿宋"/>
          <w:color w:val="000000"/>
          <w:sz w:val="32"/>
          <w:szCs w:val="32"/>
          <w:lang w:val="en-US" w:eastAsia="zh-CN"/>
        </w:rPr>
        <w:t>1.68以下</w:t>
      </w:r>
      <w:r>
        <w:rPr>
          <w:rFonts w:hint="eastAsia" w:eastAsia="仿宋"/>
          <w:color w:val="000000"/>
          <w:sz w:val="32"/>
          <w:szCs w:val="32"/>
        </w:rPr>
        <w:t>，建筑密度</w:t>
      </w:r>
      <w:r>
        <w:rPr>
          <w:rFonts w:hint="eastAsia" w:eastAsia="仿宋"/>
          <w:color w:val="000000"/>
          <w:sz w:val="32"/>
          <w:szCs w:val="32"/>
          <w:lang w:val="en-US" w:eastAsia="zh-CN"/>
        </w:rPr>
        <w:t>42</w:t>
      </w:r>
      <w:r>
        <w:rPr>
          <w:rFonts w:hint="eastAsia" w:eastAsia="仿宋"/>
          <w:color w:val="000000"/>
          <w:sz w:val="32"/>
          <w:szCs w:val="32"/>
          <w:lang w:val="zh-CN" w:eastAsia="zh-CN"/>
        </w:rPr>
        <w:t>%以下</w:t>
      </w:r>
      <w:r>
        <w:rPr>
          <w:rFonts w:hint="eastAsia" w:eastAsia="仿宋"/>
          <w:color w:val="000000"/>
          <w:sz w:val="32"/>
          <w:szCs w:val="32"/>
        </w:rPr>
        <w:t>，绿地率</w:t>
      </w:r>
      <w:r>
        <w:rPr>
          <w:rFonts w:hint="eastAsia" w:eastAsia="仿宋"/>
          <w:color w:val="000000"/>
          <w:sz w:val="32"/>
          <w:szCs w:val="32"/>
          <w:lang w:val="en-US" w:eastAsia="zh-CN"/>
        </w:rPr>
        <w:t>20</w:t>
      </w:r>
      <w:r>
        <w:rPr>
          <w:rFonts w:hint="eastAsia" w:eastAsia="仿宋"/>
          <w:color w:val="000000"/>
          <w:sz w:val="32"/>
          <w:szCs w:val="32"/>
        </w:rPr>
        <w:t>%以上，</w:t>
      </w:r>
      <w:r>
        <w:rPr>
          <w:rFonts w:hint="eastAsia" w:eastAsia="仿宋"/>
          <w:color w:val="000000"/>
          <w:sz w:val="32"/>
          <w:szCs w:val="32"/>
          <w:lang w:val="zh-CN" w:eastAsia="zh-CN"/>
        </w:rPr>
        <w:t>建筑檐口高度</w:t>
      </w:r>
      <w:r>
        <w:rPr>
          <w:rFonts w:hint="eastAsia" w:eastAsia="仿宋"/>
          <w:color w:val="000000"/>
          <w:sz w:val="32"/>
          <w:szCs w:val="32"/>
          <w:lang w:val="en-US" w:eastAsia="zh-CN"/>
        </w:rPr>
        <w:t>13</w:t>
      </w:r>
      <w:r>
        <w:rPr>
          <w:rFonts w:hint="eastAsia" w:eastAsia="仿宋"/>
          <w:color w:val="000000"/>
          <w:sz w:val="32"/>
          <w:szCs w:val="32"/>
          <w:lang w:val="zh-CN" w:eastAsia="zh-CN"/>
        </w:rPr>
        <w:t>米以下</w:t>
      </w:r>
      <w:r>
        <w:rPr>
          <w:rFonts w:hint="eastAsia" w:eastAsia="仿宋"/>
          <w:color w:val="000000"/>
          <w:sz w:val="32"/>
          <w:szCs w:val="32"/>
        </w:rPr>
        <w:t>。建设内容为</w:t>
      </w:r>
      <w:r>
        <w:rPr>
          <w:rFonts w:hint="eastAsia" w:eastAsia="仿宋"/>
          <w:color w:val="000000"/>
          <w:sz w:val="32"/>
          <w:szCs w:val="32"/>
          <w:lang w:eastAsia="zh-CN"/>
        </w:rPr>
        <w:t>商业商务</w:t>
      </w:r>
      <w:r>
        <w:rPr>
          <w:rFonts w:hint="eastAsia" w:eastAsia="仿宋"/>
          <w:color w:val="000000"/>
          <w:sz w:val="32"/>
          <w:szCs w:val="32"/>
          <w:lang w:val="zh-CN"/>
        </w:rPr>
        <w:t>、其他商服及其配套设施，</w:t>
      </w:r>
      <w:r>
        <w:rPr>
          <w:rFonts w:hint="eastAsia" w:eastAsia="仿宋"/>
          <w:color w:val="000000"/>
          <w:sz w:val="32"/>
          <w:szCs w:val="32"/>
          <w:lang w:eastAsia="zh-CN"/>
        </w:rPr>
        <w:t>商业</w:t>
      </w:r>
      <w:r>
        <w:rPr>
          <w:rFonts w:hint="eastAsia" w:eastAsia="仿宋"/>
          <w:color w:val="000000"/>
          <w:sz w:val="32"/>
          <w:szCs w:val="32"/>
          <w:lang w:val="en-US" w:eastAsia="zh-CN"/>
        </w:rPr>
        <w:t>占比45%、商务占比50%、其他商服占比5%</w:t>
      </w:r>
      <w:r>
        <w:rPr>
          <w:rFonts w:hint="eastAsia" w:eastAsia="仿宋"/>
          <w:color w:val="000000"/>
          <w:sz w:val="32"/>
          <w:szCs w:val="32"/>
          <w:lang w:val="zh-CN"/>
        </w:rPr>
        <w:t>。</w:t>
      </w:r>
      <w:r>
        <w:rPr>
          <w:rFonts w:hint="eastAsia" w:ascii="仿宋" w:hAnsi="仿宋" w:eastAsia="仿宋" w:cs="仿宋"/>
          <w:color w:val="000000"/>
          <w:kern w:val="0"/>
          <w:sz w:val="31"/>
          <w:szCs w:val="31"/>
          <w:lang w:val="en-US" w:eastAsia="zh-CN" w:bidi="ar"/>
        </w:rPr>
        <w:t xml:space="preserve">                       </w:t>
      </w:r>
    </w:p>
    <w:p w14:paraId="06702EA7">
      <w:pPr>
        <w:keepNext w:val="0"/>
        <w:keepLines w:val="0"/>
        <w:pageBreakBefore w:val="0"/>
        <w:kinsoku/>
        <w:wordWrap/>
        <w:overflowPunct/>
        <w:topLinePunct w:val="0"/>
        <w:autoSpaceDE/>
        <w:autoSpaceDN/>
        <w:bidi w:val="0"/>
        <w:adjustRightInd/>
        <w:snapToGrid/>
        <w:spacing w:line="560" w:lineRule="exact"/>
        <w:ind w:left="0" w:leftChars="0" w:right="0" w:rightChars="0" w:firstLine="636" w:firstLineChars="199"/>
        <w:textAlignment w:val="auto"/>
        <w:outlineLvl w:val="9"/>
        <w:rPr>
          <w:rFonts w:hint="eastAsia" w:eastAsia="仿宋_GB2312"/>
          <w:sz w:val="32"/>
          <w:szCs w:val="32"/>
          <w:lang w:val="en-US" w:eastAsia="zh-CN"/>
        </w:rPr>
      </w:pPr>
      <w:r>
        <w:rPr>
          <w:rFonts w:hint="eastAsia" w:ascii="仿宋_GB2312" w:hAnsi="仿宋_GB2312" w:eastAsia="仿宋_GB2312" w:cs="仿宋_GB2312"/>
          <w:color w:val="auto"/>
          <w:szCs w:val="32"/>
        </w:rPr>
        <w:t>（二）规划指标和相关要求</w:t>
      </w:r>
    </w:p>
    <w:p w14:paraId="7483C596">
      <w:pPr>
        <w:spacing w:line="579" w:lineRule="exact"/>
        <w:ind w:firstLine="636" w:firstLineChars="199"/>
        <w:rPr>
          <w:rFonts w:hint="default" w:eastAsia="仿宋"/>
          <w:color w:val="auto"/>
          <w:sz w:val="32"/>
          <w:szCs w:val="32"/>
          <w:lang w:val="en-US" w:eastAsia="zh-CN"/>
        </w:rPr>
      </w:pPr>
      <w:r>
        <w:rPr>
          <w:rFonts w:eastAsia="仿宋_GB2312"/>
          <w:sz w:val="32"/>
          <w:szCs w:val="32"/>
        </w:rPr>
        <w:t>1</w:t>
      </w:r>
      <w:r>
        <w:rPr>
          <w:rFonts w:hint="eastAsia" w:eastAsia="仿宋_GB2312"/>
          <w:sz w:val="32"/>
          <w:szCs w:val="32"/>
        </w:rPr>
        <w:t>．</w:t>
      </w:r>
      <w:r>
        <w:rPr>
          <w:rFonts w:hint="eastAsia" w:eastAsia="仿宋"/>
          <w:color w:val="auto"/>
          <w:sz w:val="32"/>
          <w:szCs w:val="32"/>
          <w:lang w:val="en-US" w:eastAsia="zh-CN"/>
        </w:rPr>
        <w:t>鲤2024-17号地块内需保留建筑物计容建筑面积7487.9平方米、鲤2024-19号地块内需保留建筑物计容建筑面积22668.83平方米，</w:t>
      </w:r>
      <w:r>
        <w:rPr>
          <w:rFonts w:hint="eastAsia" w:ascii="仿宋" w:hAnsi="仿宋" w:eastAsia="仿宋" w:cs="仿宋"/>
          <w:color w:val="auto"/>
          <w:sz w:val="32"/>
          <w:szCs w:val="32"/>
          <w:lang w:eastAsia="zh-CN"/>
        </w:rPr>
        <w:t>上述</w:t>
      </w:r>
      <w:r>
        <w:rPr>
          <w:rFonts w:eastAsia="仿宋"/>
          <w:color w:val="auto"/>
          <w:sz w:val="32"/>
          <w:szCs w:val="32"/>
        </w:rPr>
        <w:t>地块</w:t>
      </w:r>
      <w:r>
        <w:rPr>
          <w:rFonts w:hint="eastAsia" w:eastAsia="仿宋"/>
          <w:color w:val="auto"/>
          <w:sz w:val="32"/>
          <w:szCs w:val="32"/>
          <w:lang w:eastAsia="zh-CN"/>
        </w:rPr>
        <w:t>采取带建筑物方式拍卖出让。</w:t>
      </w:r>
    </w:p>
    <w:p w14:paraId="07A20537">
      <w:pPr>
        <w:spacing w:line="579" w:lineRule="exact"/>
        <w:ind w:firstLine="636" w:firstLineChars="199"/>
        <w:rPr>
          <w:rFonts w:hint="eastAsia" w:eastAsia="仿宋"/>
          <w:color w:val="000000"/>
          <w:sz w:val="32"/>
          <w:szCs w:val="32"/>
          <w:lang w:eastAsia="zh-CN"/>
        </w:rPr>
      </w:pPr>
      <w:r>
        <w:rPr>
          <w:rFonts w:hint="eastAsia" w:eastAsia="仿宋_GB2312"/>
          <w:sz w:val="32"/>
          <w:szCs w:val="32"/>
          <w:lang w:val="en-US" w:eastAsia="zh-CN"/>
        </w:rPr>
        <w:t>2</w:t>
      </w:r>
      <w:r>
        <w:rPr>
          <w:rFonts w:hint="eastAsia" w:eastAsia="仿宋_GB2312"/>
          <w:sz w:val="32"/>
          <w:szCs w:val="32"/>
        </w:rPr>
        <w:t>．</w:t>
      </w:r>
      <w:r>
        <w:rPr>
          <w:rFonts w:hint="eastAsia" w:eastAsia="仿宋_GB2312"/>
          <w:sz w:val="32"/>
          <w:szCs w:val="32"/>
          <w:lang w:eastAsia="zh-CN"/>
        </w:rPr>
        <w:t>鲤</w:t>
      </w:r>
      <w:r>
        <w:rPr>
          <w:rFonts w:hint="eastAsia" w:eastAsia="仿宋_GB2312"/>
          <w:sz w:val="32"/>
          <w:szCs w:val="32"/>
          <w:lang w:val="en-US" w:eastAsia="zh-CN"/>
        </w:rPr>
        <w:t>2024-19号地块商务金融占比50%、商业（餐饮）占比25%、商业（零售商业）占比20%、其他商业服务业占比5%</w:t>
      </w:r>
      <w:r>
        <w:rPr>
          <w:rFonts w:hint="eastAsia"/>
          <w:sz w:val="32"/>
          <w:szCs w:val="32"/>
          <w:lang w:val="en-US" w:eastAsia="zh-CN"/>
        </w:rPr>
        <w:t>。</w:t>
      </w:r>
      <w:r>
        <w:rPr>
          <w:rFonts w:hint="eastAsia" w:eastAsia="仿宋"/>
          <w:color w:val="auto"/>
          <w:sz w:val="32"/>
          <w:szCs w:val="32"/>
          <w:lang w:val="en-US" w:eastAsia="zh-CN"/>
        </w:rPr>
        <w:t>鲤2024-17号、鲤2024-19号地块</w:t>
      </w:r>
      <w:r>
        <w:rPr>
          <w:rFonts w:hint="eastAsia" w:eastAsia="仿宋"/>
          <w:color w:val="000000"/>
          <w:sz w:val="32"/>
          <w:szCs w:val="32"/>
          <w:lang w:val="en-US" w:eastAsia="zh-CN"/>
        </w:rPr>
        <w:t>建筑</w:t>
      </w:r>
      <w:r>
        <w:rPr>
          <w:rFonts w:hint="eastAsia" w:eastAsia="仿宋_GB2312"/>
          <w:sz w:val="32"/>
          <w:szCs w:val="32"/>
        </w:rPr>
        <w:t>不可分割销售、不可分割转让。</w:t>
      </w:r>
    </w:p>
    <w:p w14:paraId="29712CDD">
      <w:pPr>
        <w:widowControl/>
        <w:spacing w:line="520" w:lineRule="exact"/>
        <w:ind w:firstLine="640" w:firstLineChars="200"/>
        <w:rPr>
          <w:rFonts w:eastAsia="仿宋_GB2312"/>
          <w:sz w:val="32"/>
          <w:szCs w:val="32"/>
        </w:rPr>
      </w:pPr>
      <w:r>
        <w:rPr>
          <w:rFonts w:hint="eastAsia" w:eastAsia="仿宋_GB2312"/>
          <w:sz w:val="32"/>
          <w:szCs w:val="32"/>
          <w:lang w:val="en-US" w:eastAsia="zh-CN"/>
        </w:rPr>
        <w:t>3</w:t>
      </w:r>
      <w:r>
        <w:rPr>
          <w:rFonts w:hint="eastAsia" w:eastAsia="仿宋_GB2312"/>
          <w:sz w:val="32"/>
          <w:szCs w:val="32"/>
        </w:rPr>
        <w:t>．上述</w:t>
      </w:r>
      <w:r>
        <w:rPr>
          <w:rFonts w:eastAsia="仿宋_GB2312"/>
          <w:sz w:val="32"/>
          <w:szCs w:val="32"/>
        </w:rPr>
        <w:t>地块由非泉州市</w:t>
      </w:r>
      <w:r>
        <w:rPr>
          <w:rFonts w:hint="eastAsia" w:eastAsia="仿宋_GB2312"/>
          <w:sz w:val="32"/>
          <w:szCs w:val="32"/>
          <w:lang w:eastAsia="zh-CN"/>
        </w:rPr>
        <w:t>鲤城</w:t>
      </w:r>
      <w:r>
        <w:rPr>
          <w:rFonts w:eastAsia="仿宋_GB2312"/>
          <w:sz w:val="32"/>
          <w:szCs w:val="32"/>
        </w:rPr>
        <w:t>区的法人竞得的，须在泉州市</w:t>
      </w:r>
      <w:r>
        <w:rPr>
          <w:rFonts w:hint="eastAsia" w:eastAsia="仿宋_GB2312"/>
          <w:sz w:val="32"/>
          <w:szCs w:val="32"/>
          <w:lang w:eastAsia="zh-CN"/>
        </w:rPr>
        <w:t>鲤城</w:t>
      </w:r>
      <w:r>
        <w:rPr>
          <w:rFonts w:eastAsia="仿宋_GB2312"/>
          <w:sz w:val="32"/>
          <w:szCs w:val="32"/>
        </w:rPr>
        <w:t>区注册成立新公司，所有税收应在当地缴纳。</w:t>
      </w:r>
    </w:p>
    <w:p w14:paraId="78F35342">
      <w:pPr>
        <w:widowControl/>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五、竞买人资格</w:t>
      </w:r>
    </w:p>
    <w:p w14:paraId="1FEB7B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eastAsia="仿宋"/>
          <w:color w:val="auto"/>
          <w:szCs w:val="32"/>
        </w:rPr>
      </w:pPr>
      <w:r>
        <w:rPr>
          <w:rFonts w:ascii="Times New Roman" w:eastAsia="仿宋"/>
          <w:color w:val="auto"/>
          <w:szCs w:val="32"/>
        </w:rPr>
        <w:t>中华人民共和国境内外的法人、自然人和其他组织，符合竞买申请人条件的，除欠缴土地出让金者、已在本市取得合法土地未按规定开发建设者、列入福建省恶意逃废债务失信行为人“黑名单”的企业和自然人、全国法院失信被执行人（包括自然人、法人或其他组织）以及法律另有规定外，均可申请参加竞买。竞买申请人应当单独申请。竞买申请人提交竞买申请书时，应同时提交竞买保证金，同时提交竞买保证金属于自有资金，不属于银行贷款、股东借款、民间借款、转贷和募集资金的承诺书及商业金融机构的资信证明。</w:t>
      </w:r>
    </w:p>
    <w:p w14:paraId="7FC968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交纳竞买保证金的截止时间为202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14:paraId="4F685D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17</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捌佰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8</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14:paraId="563F5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仿宋_GB2312" w:eastAsia="仿宋_GB2312" w:cs="仿宋_GB2312"/>
          <w:color w:val="auto"/>
          <w:szCs w:val="32"/>
          <w:lang w:val="en-US" w:eastAsia="zh-CN"/>
        </w:rPr>
        <w:t>鲤202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lang w:val="en-US" w:eastAsia="zh-CN"/>
        </w:rPr>
        <w:t>-</w:t>
      </w:r>
      <w:r>
        <w:rPr>
          <w:rFonts w:hint="eastAsia" w:hAnsi="仿宋_GB2312" w:cs="仿宋_GB2312"/>
          <w:color w:val="auto"/>
          <w:szCs w:val="32"/>
          <w:lang w:val="en-US" w:eastAsia="zh-CN"/>
        </w:rPr>
        <w:t>19</w:t>
      </w:r>
      <w:r>
        <w:rPr>
          <w:rFonts w:hint="eastAsia" w:ascii="仿宋_GB2312" w:hAnsi="仿宋_GB2312" w:eastAsia="仿宋_GB2312" w:cs="仿宋_GB2312"/>
          <w:color w:val="auto"/>
          <w:szCs w:val="32"/>
        </w:rPr>
        <w:t>号地块的竞买保证金为人民币（大写）</w:t>
      </w:r>
      <w:r>
        <w:rPr>
          <w:rFonts w:hint="eastAsia" w:hAnsi="仿宋_GB2312" w:cs="仿宋_GB2312"/>
          <w:color w:val="auto"/>
          <w:szCs w:val="32"/>
          <w:lang w:eastAsia="zh-CN"/>
        </w:rPr>
        <w:t>叁仟伍佰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35</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w:t>
      </w:r>
      <w:r>
        <w:rPr>
          <w:rFonts w:hint="eastAsia" w:ascii="仿宋_GB2312" w:hAnsi="仿宋_GB2312" w:eastAsia="仿宋_GB2312" w:cs="仿宋_GB2312"/>
          <w:color w:val="auto"/>
          <w:szCs w:val="32"/>
          <w:lang w:eastAsia="zh-CN"/>
        </w:rPr>
        <w:t>；</w:t>
      </w:r>
    </w:p>
    <w:p w14:paraId="419BB4B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六、申请和资格审查</w:t>
      </w:r>
    </w:p>
    <w:p w14:paraId="6050144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（一）拍卖出让文件索取</w:t>
      </w:r>
    </w:p>
    <w:p w14:paraId="3A51BA4F">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竞买人可于202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22</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日，到泉州市丰泽区海星街100号东海大厦A幢市政务服务中心4楼450室购买索取本次拍卖出让文件，具体包括：</w:t>
      </w:r>
    </w:p>
    <w:p w14:paraId="01BA7B1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1.国有建设用地使用权出让公告(泉自然资告字〔202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13</w:t>
      </w:r>
      <w:r>
        <w:rPr>
          <w:rFonts w:hint="eastAsia" w:ascii="仿宋_GB2312" w:hAnsi="仿宋_GB2312" w:eastAsia="仿宋_GB2312" w:cs="仿宋_GB2312"/>
          <w:color w:val="auto"/>
          <w:szCs w:val="32"/>
        </w:rPr>
        <w:t>号)</w:t>
      </w:r>
    </w:p>
    <w:p w14:paraId="33362CD4">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2.国有建设用地使用权拍卖出让须知</w:t>
      </w:r>
    </w:p>
    <w:p w14:paraId="301F9940">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3.泉州市自然资源和规划局规划设计条件文件（复印件）</w:t>
      </w:r>
    </w:p>
    <w:p w14:paraId="51D35F46">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4.竞买申请书</w:t>
      </w:r>
    </w:p>
    <w:p w14:paraId="1DDDE3A0">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5.竞买承诺书</w:t>
      </w:r>
    </w:p>
    <w:p w14:paraId="18FEEE57">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6.法定代表人身份证明书</w:t>
      </w:r>
    </w:p>
    <w:p w14:paraId="6368FCB4">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7.授权委托书</w:t>
      </w:r>
    </w:p>
    <w:p w14:paraId="46A5AA39">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8.竞买资格确认书（样本）</w:t>
      </w:r>
    </w:p>
    <w:p w14:paraId="51DD88D4">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9.成交确认书（样本）</w:t>
      </w:r>
    </w:p>
    <w:p w14:paraId="67041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10.地块宗地图（复印件）</w:t>
      </w:r>
    </w:p>
    <w:p w14:paraId="1B1209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11.泉州市自然资源和规划局用地红线图（复印件）</w:t>
      </w:r>
    </w:p>
    <w:p w14:paraId="7BC4181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（二）提交申请</w:t>
      </w:r>
    </w:p>
    <w:p w14:paraId="643A86F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竞买人应于202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日17时前，到泉州市丰泽区海星街100号东海大厦A幢市政务服务中心4楼450室提交书面申请（不接受邮寄、电子邮件及口头竞买报名），</w:t>
      </w:r>
      <w:r>
        <w:rPr>
          <w:rFonts w:hint="eastAsia" w:ascii="仿宋_GB2312" w:hAnsi="仿宋_GB2312" w:eastAsia="仿宋_GB2312" w:cs="仿宋_GB2312"/>
          <w:b/>
          <w:color w:val="auto"/>
          <w:szCs w:val="32"/>
        </w:rPr>
        <w:t>所有申请文件必须为正本一式二份。</w:t>
      </w:r>
      <w:r>
        <w:rPr>
          <w:rFonts w:hint="eastAsia" w:ascii="仿宋_GB2312" w:hAnsi="仿宋_GB2312" w:eastAsia="仿宋_GB2312" w:cs="仿宋_GB2312"/>
          <w:color w:val="auto"/>
          <w:szCs w:val="32"/>
        </w:rPr>
        <w:t>申请文件包括：</w:t>
      </w:r>
    </w:p>
    <w:p w14:paraId="34C23F42">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14:paraId="342717B7">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14:paraId="6DDBA76A">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14:paraId="276CA6B7">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14:paraId="39C63B08">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）法人单位有效证明文件；</w:t>
      </w:r>
    </w:p>
    <w:p w14:paraId="4B155171">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）法定代表人身份证明书；</w:t>
      </w:r>
    </w:p>
    <w:p w14:paraId="2B3F76D7">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）竞买人委托他人办理的，应提交授权委托书及委托代理人的有效身份证明文件；</w:t>
      </w:r>
    </w:p>
    <w:p w14:paraId="781769DD">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14:paraId="3D15CC41">
      <w:pPr>
        <w:spacing w:line="520" w:lineRule="exact"/>
        <w:ind w:firstLine="640" w:firstLineChars="200"/>
        <w:rPr>
          <w:rFonts w:hint="eastAsia"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14:paraId="6FB923FC">
      <w:pPr>
        <w:spacing w:line="520" w:lineRule="exact"/>
        <w:ind w:firstLine="640" w:firstLineChars="200"/>
        <w:rPr>
          <w:rFonts w:ascii="Times New Roman" w:eastAsia="仿宋"/>
          <w:color w:val="auto"/>
          <w:szCs w:val="32"/>
        </w:rPr>
      </w:pPr>
      <w:r>
        <w:rPr>
          <w:rFonts w:hint="eastAsia" w:ascii="Times New Roman" w:eastAsia="仿宋"/>
          <w:color w:val="auto"/>
          <w:szCs w:val="32"/>
        </w:rPr>
        <w:t>2</w:t>
      </w:r>
      <w:r>
        <w:rPr>
          <w:rFonts w:ascii="Times New Roman" w:eastAsia="仿宋"/>
          <w:color w:val="auto"/>
          <w:szCs w:val="32"/>
        </w:rPr>
        <w:t>．</w:t>
      </w:r>
      <w:r>
        <w:rPr>
          <w:rFonts w:eastAsia="仿宋"/>
          <w:color w:val="000000" w:themeColor="text1"/>
          <w:szCs w:val="32"/>
        </w:rPr>
        <w:t>自然人</w:t>
      </w:r>
      <w:r>
        <w:rPr>
          <w:rFonts w:ascii="Times New Roman" w:eastAsia="仿宋"/>
          <w:color w:val="auto"/>
          <w:szCs w:val="32"/>
        </w:rPr>
        <w:t>申请的，应提交下列文件：</w:t>
      </w:r>
    </w:p>
    <w:p w14:paraId="0A863F79">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14:paraId="3D21E4C8">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14:paraId="53FB55AC">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14:paraId="317DBE38">
      <w:pPr>
        <w:spacing w:line="520" w:lineRule="exact"/>
        <w:ind w:firstLine="640" w:firstLineChars="200"/>
        <w:rPr>
          <w:rFonts w:ascii="Times New Roman" w:eastAsia="仿宋"/>
          <w:color w:val="auto"/>
          <w:szCs w:val="32"/>
        </w:rPr>
      </w:pPr>
      <w:r>
        <w:rPr>
          <w:rFonts w:ascii="Times New Roman" w:eastAsia="仿宋"/>
          <w:color w:val="auto"/>
          <w:szCs w:val="32"/>
        </w:rPr>
        <w:t>（4）申请人有效身份证明文件；</w:t>
      </w:r>
    </w:p>
    <w:p w14:paraId="1B848BBF">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（5）申请人委托他人办理的，应提交经公证的授权委托书及委托代理人的身份证明文件；</w:t>
      </w:r>
    </w:p>
    <w:p w14:paraId="5FAB615B">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14:paraId="52BF9F92">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14:paraId="48B03407">
      <w:pPr>
        <w:spacing w:line="520" w:lineRule="exact"/>
        <w:ind w:firstLine="640" w:firstLineChars="200"/>
        <w:rPr>
          <w:rFonts w:ascii="Times New Roman" w:eastAsia="仿宋"/>
          <w:color w:val="auto"/>
          <w:szCs w:val="32"/>
        </w:rPr>
      </w:pPr>
      <w:r>
        <w:rPr>
          <w:rFonts w:hint="eastAsia" w:ascii="Times New Roman" w:eastAsia="仿宋"/>
          <w:color w:val="auto"/>
          <w:szCs w:val="32"/>
        </w:rPr>
        <w:t>3</w:t>
      </w:r>
      <w:r>
        <w:rPr>
          <w:rFonts w:ascii="Times New Roman" w:eastAsia="仿宋"/>
          <w:color w:val="auto"/>
          <w:szCs w:val="32"/>
        </w:rPr>
        <w:t>．其他组织申请的，应提交下列文件：</w:t>
      </w:r>
    </w:p>
    <w:p w14:paraId="1E2EE715">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14:paraId="27BA658D">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14:paraId="7F313D2E">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14:paraId="428E653C">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）表明该组织合法存在的文件或有效证明；</w:t>
      </w:r>
    </w:p>
    <w:p w14:paraId="340E1598">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）表明该组织负责人身份的有效证明文件；</w:t>
      </w:r>
    </w:p>
    <w:p w14:paraId="033C5E30">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）申请人委托他人办理的，应提交授权委托书及委托代理人的身份证明文件；</w:t>
      </w:r>
    </w:p>
    <w:p w14:paraId="5729C279">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）竞买保证金交纳凭证；</w:t>
      </w:r>
    </w:p>
    <w:p w14:paraId="4C701C53">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8</w:t>
      </w:r>
      <w:r>
        <w:rPr>
          <w:rFonts w:ascii="Times New Roman" w:eastAsia="仿宋"/>
          <w:color w:val="auto"/>
          <w:szCs w:val="32"/>
        </w:rPr>
        <w:t>）拍卖文件规定需要提交的其他文件。</w:t>
      </w:r>
    </w:p>
    <w:p w14:paraId="2A33512E">
      <w:pPr>
        <w:spacing w:line="520" w:lineRule="exact"/>
        <w:ind w:firstLine="640" w:firstLineChars="200"/>
        <w:rPr>
          <w:rFonts w:ascii="Times New Roman" w:eastAsia="仿宋"/>
          <w:color w:val="auto"/>
          <w:szCs w:val="32"/>
        </w:rPr>
      </w:pPr>
      <w:r>
        <w:rPr>
          <w:rFonts w:hint="eastAsia" w:ascii="Times New Roman" w:eastAsia="仿宋"/>
          <w:color w:val="auto"/>
          <w:szCs w:val="32"/>
        </w:rPr>
        <w:t>4</w:t>
      </w:r>
      <w:r>
        <w:rPr>
          <w:rFonts w:ascii="Times New Roman" w:eastAsia="仿宋"/>
          <w:color w:val="auto"/>
          <w:szCs w:val="32"/>
        </w:rPr>
        <w:t>．境外申请人申请的，应提交下列文件：</w:t>
      </w:r>
    </w:p>
    <w:p w14:paraId="07C49EE4">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14:paraId="6CB4CCF0">
      <w:pPr>
        <w:spacing w:line="520" w:lineRule="exact"/>
        <w:ind w:firstLine="640" w:firstLineChars="200"/>
        <w:rPr>
          <w:rFonts w:hint="eastAsia" w:ascii="Times New Roman" w:eastAsia="仿宋"/>
          <w:color w:val="auto"/>
          <w:szCs w:val="32"/>
        </w:rPr>
      </w:pPr>
      <w:r>
        <w:rPr>
          <w:rFonts w:ascii="Times New Roman" w:eastAsia="仿宋"/>
          <w:color w:val="auto"/>
          <w:szCs w:val="32"/>
        </w:rPr>
        <w:t>（2）竞买承诺书；</w:t>
      </w:r>
    </w:p>
    <w:p w14:paraId="44305806">
      <w:pPr>
        <w:spacing w:line="520" w:lineRule="exact"/>
        <w:ind w:firstLine="640" w:firstLineChars="200"/>
        <w:rPr>
          <w:rFonts w:ascii="Times New Roman" w:eastAsia="仿宋"/>
          <w:color w:val="auto"/>
          <w:szCs w:val="32"/>
        </w:rPr>
      </w:pPr>
      <w:r>
        <w:rPr>
          <w:rFonts w:ascii="Times New Roman" w:eastAsia="仿宋"/>
          <w:color w:val="auto"/>
          <w:szCs w:val="32"/>
        </w:rPr>
        <w:t>（3）银行资信证明；</w:t>
      </w:r>
    </w:p>
    <w:p w14:paraId="010126D3">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4</w:t>
      </w:r>
      <w:r>
        <w:rPr>
          <w:rFonts w:ascii="Times New Roman" w:eastAsia="仿宋"/>
          <w:color w:val="auto"/>
          <w:szCs w:val="32"/>
        </w:rPr>
        <w:t>）境外法人、自然人、其他组织的有效身份证明文件；</w:t>
      </w:r>
    </w:p>
    <w:p w14:paraId="30D5A893">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5</w:t>
      </w:r>
      <w:r>
        <w:rPr>
          <w:rFonts w:ascii="Times New Roman" w:eastAsia="仿宋"/>
          <w:color w:val="auto"/>
          <w:szCs w:val="32"/>
        </w:rPr>
        <w:t>）申请人委托他人办理的，应提交经公证的授权委托书及委托代理人的有效身份证明文件；</w:t>
      </w:r>
    </w:p>
    <w:p w14:paraId="53554EE7">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6</w:t>
      </w:r>
      <w:r>
        <w:rPr>
          <w:rFonts w:ascii="Times New Roman" w:eastAsia="仿宋"/>
          <w:color w:val="auto"/>
          <w:szCs w:val="32"/>
        </w:rPr>
        <w:t>）竞买保证金交纳凭证；</w:t>
      </w:r>
    </w:p>
    <w:p w14:paraId="33CBA272">
      <w:pPr>
        <w:spacing w:line="520" w:lineRule="exact"/>
        <w:ind w:firstLine="640" w:firstLineChars="200"/>
        <w:rPr>
          <w:rFonts w:ascii="Times New Roman" w:eastAsia="仿宋"/>
          <w:color w:val="auto"/>
          <w:szCs w:val="32"/>
        </w:rPr>
      </w:pPr>
      <w:r>
        <w:rPr>
          <w:rFonts w:ascii="Times New Roman" w:eastAsia="仿宋"/>
          <w:color w:val="auto"/>
          <w:szCs w:val="32"/>
        </w:rPr>
        <w:t>（</w:t>
      </w:r>
      <w:r>
        <w:rPr>
          <w:rFonts w:hint="eastAsia" w:ascii="Times New Roman" w:eastAsia="仿宋"/>
          <w:color w:val="auto"/>
          <w:szCs w:val="32"/>
        </w:rPr>
        <w:t>7</w:t>
      </w:r>
      <w:r>
        <w:rPr>
          <w:rFonts w:ascii="Times New Roman" w:eastAsia="仿宋"/>
          <w:color w:val="auto"/>
          <w:szCs w:val="32"/>
        </w:rPr>
        <w:t>）拍卖文件规定需要提交的其他文件。</w:t>
      </w:r>
    </w:p>
    <w:p w14:paraId="6B1D863C">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14:paraId="7CF2AE6E">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（三）资格审查</w:t>
      </w:r>
    </w:p>
    <w:p w14:paraId="04D7A948">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受我局委托，由泉州市产权交易中心有限公司负责对拍卖出让公告规定的时间内收到的申请进行资格审查。竞买人按规定交纳竞买保证金、通过资格审查的，方能取得竞买资格。</w:t>
      </w:r>
    </w:p>
    <w:p w14:paraId="73FE9383">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经审查，有下列情形之一的，为无效申请：</w:t>
      </w:r>
    </w:p>
    <w:p w14:paraId="5DC67ED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1.竞买人不具备竞买资格的；</w:t>
      </w:r>
    </w:p>
    <w:p w14:paraId="2E9EB580">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2.未按规定交纳竞买保证金的；</w:t>
      </w:r>
    </w:p>
    <w:p w14:paraId="547D3E8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3.申请文件不齐全或不符合规定的；</w:t>
      </w:r>
    </w:p>
    <w:p w14:paraId="6F6336C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4.委托他人代理，委托文件不齐全或不符合规定的；</w:t>
      </w:r>
    </w:p>
    <w:p w14:paraId="638008C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5.竞买人违反《竞买承诺书》中约定的；</w:t>
      </w:r>
    </w:p>
    <w:p w14:paraId="39817C2E">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6.法律法规规定的其他情形。</w:t>
      </w:r>
    </w:p>
    <w:p w14:paraId="5CA09246">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（四）确认竞买人资格</w:t>
      </w:r>
    </w:p>
    <w:p w14:paraId="5005F79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经审查，竞买人按规定交纳竞买保证金、具备申请条件的，泉州市产权交易中心有限公司将在报名结束后确认其竞买资格，发给《竞买资格确认书》。</w:t>
      </w:r>
    </w:p>
    <w:p w14:paraId="41B847B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（五）答疑及现场踏勘</w:t>
      </w:r>
    </w:p>
    <w:p w14:paraId="4B526D4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竞买人对拍卖出让文件有疑问的，可以在拍卖会开始前以书面或者口头方式向我局咨询。我局于202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22</w:t>
      </w:r>
      <w:r>
        <w:rPr>
          <w:rFonts w:hint="eastAsia" w:ascii="仿宋_GB2312" w:hAnsi="仿宋_GB2312" w:eastAsia="仿宋_GB2312" w:cs="仿宋_GB2312"/>
          <w:color w:val="auto"/>
          <w:szCs w:val="32"/>
        </w:rPr>
        <w:t>日至202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23</w:t>
      </w:r>
      <w:r>
        <w:rPr>
          <w:rFonts w:hint="eastAsia" w:ascii="仿宋_GB2312" w:hAnsi="仿宋_GB2312" w:eastAsia="仿宋_GB2312" w:cs="仿宋_GB2312"/>
          <w:color w:val="auto"/>
          <w:szCs w:val="32"/>
        </w:rPr>
        <w:t>日组织竞买人对拟出让地块进行现场踏勘。需由我局派员陪同实地踏勘的，请提前与我局联系（联系电话：0595－22769</w:t>
      </w:r>
      <w:r>
        <w:rPr>
          <w:rFonts w:hint="eastAsia" w:ascii="仿宋_GB2312" w:hAnsi="仿宋_GB2312" w:eastAsia="仿宋_GB2312" w:cs="仿宋_GB2312"/>
          <w:color w:val="auto"/>
          <w:szCs w:val="32"/>
          <w:lang w:val="en-US" w:eastAsia="zh-CN"/>
        </w:rPr>
        <w:t>01</w:t>
      </w:r>
      <w:r>
        <w:rPr>
          <w:rFonts w:hint="eastAsia" w:ascii="仿宋_GB2312" w:hAnsi="仿宋_GB2312" w:eastAsia="仿宋_GB2312" w:cs="仿宋_GB2312"/>
          <w:color w:val="auto"/>
          <w:szCs w:val="32"/>
        </w:rPr>
        <w:t>2）。</w:t>
      </w:r>
    </w:p>
    <w:p w14:paraId="2B39A9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七、宗地的拍卖起叫价和增价幅度</w:t>
      </w:r>
    </w:p>
    <w:p w14:paraId="2D50EF1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17</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叁</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陆</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36</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14:paraId="05728B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鲤</w:t>
      </w:r>
      <w:r>
        <w:rPr>
          <w:rFonts w:hint="eastAsia" w:ascii="仿宋_GB2312" w:hAnsi="仿宋_GB2312" w:eastAsia="仿宋_GB2312" w:cs="仿宋_GB2312"/>
          <w:color w:val="auto"/>
          <w:szCs w:val="32"/>
        </w:rPr>
        <w:t>202</w:t>
      </w:r>
      <w:r>
        <w:rPr>
          <w:rFonts w:hint="eastAsia" w:hAnsi="仿宋_GB2312" w:cs="仿宋_GB2312"/>
          <w:color w:val="auto"/>
          <w:szCs w:val="32"/>
          <w:lang w:val="en-US" w:eastAsia="zh-CN"/>
        </w:rPr>
        <w:t>4</w:t>
      </w:r>
      <w:r>
        <w:rPr>
          <w:rFonts w:hint="eastAsia" w:ascii="仿宋_GB2312" w:hAnsi="仿宋_GB2312" w:eastAsia="仿宋_GB2312" w:cs="仿宋_GB2312"/>
          <w:color w:val="auto"/>
          <w:szCs w:val="32"/>
        </w:rPr>
        <w:t>-</w:t>
      </w:r>
      <w:r>
        <w:rPr>
          <w:rFonts w:hint="eastAsia" w:hAnsi="仿宋_GB2312" w:cs="仿宋_GB2312"/>
          <w:color w:val="auto"/>
          <w:szCs w:val="32"/>
          <w:lang w:val="en-US" w:eastAsia="zh-CN"/>
        </w:rPr>
        <w:t>19</w:t>
      </w:r>
      <w:r>
        <w:rPr>
          <w:rFonts w:hint="eastAsia" w:ascii="仿宋_GB2312" w:hAnsi="仿宋_GB2312" w:eastAsia="仿宋_GB2312" w:cs="仿宋_GB2312"/>
          <w:color w:val="auto"/>
          <w:szCs w:val="32"/>
        </w:rPr>
        <w:t>号地块，起叫价为人民币（大写）</w:t>
      </w:r>
      <w:r>
        <w:rPr>
          <w:rFonts w:hint="eastAsia" w:hAnsi="仿宋_GB2312" w:cs="仿宋_GB2312"/>
          <w:color w:val="auto"/>
          <w:szCs w:val="32"/>
          <w:lang w:eastAsia="zh-CN"/>
        </w:rPr>
        <w:t>壹亿柒</w:t>
      </w:r>
      <w:r>
        <w:rPr>
          <w:rFonts w:hint="eastAsia" w:ascii="仿宋_GB2312" w:hAnsi="仿宋_GB2312" w:eastAsia="仿宋_GB2312" w:cs="仿宋_GB2312"/>
          <w:color w:val="auto"/>
          <w:szCs w:val="32"/>
        </w:rPr>
        <w:t>仟</w:t>
      </w:r>
      <w:r>
        <w:rPr>
          <w:rFonts w:hint="eastAsia" w:hAnsi="仿宋_GB2312" w:cs="仿宋_GB2312"/>
          <w:color w:val="auto"/>
          <w:szCs w:val="32"/>
          <w:lang w:eastAsia="zh-CN"/>
        </w:rPr>
        <w:t>肆</w:t>
      </w:r>
      <w:r>
        <w:rPr>
          <w:rFonts w:hint="eastAsia" w:ascii="仿宋_GB2312" w:hAnsi="仿宋_GB2312" w:eastAsia="仿宋_GB2312" w:cs="仿宋_GB2312"/>
          <w:color w:val="auto"/>
          <w:szCs w:val="32"/>
          <w:lang w:val="en-US" w:eastAsia="zh-CN"/>
        </w:rPr>
        <w:t>佰</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174</w:t>
      </w:r>
      <w:r>
        <w:rPr>
          <w:rFonts w:hint="eastAsia" w:ascii="仿宋_GB2312" w:hAnsi="仿宋_GB2312" w:eastAsia="仿宋_GB2312" w:cs="仿宋_GB2312"/>
          <w:sz w:val="32"/>
          <w:szCs w:val="32"/>
          <w:lang w:val="en-US" w:eastAsia="zh-CN"/>
        </w:rPr>
        <w:t>,</w:t>
      </w:r>
      <w:r>
        <w:rPr>
          <w:rFonts w:hint="eastAsia" w:hAnsi="仿宋_GB2312" w:cs="仿宋_GB2312"/>
          <w:sz w:val="32"/>
          <w:szCs w:val="32"/>
          <w:lang w:val="en-US" w:eastAsia="zh-CN"/>
        </w:rPr>
        <w:t>0</w:t>
      </w:r>
      <w:r>
        <w:rPr>
          <w:rFonts w:hint="eastAsia" w:ascii="仿宋_GB2312" w:hAnsi="仿宋_GB2312" w:eastAsia="仿宋_GB2312" w:cs="仿宋_GB2312"/>
          <w:sz w:val="32"/>
          <w:szCs w:val="32"/>
          <w:lang w:val="en-US" w:eastAsia="zh-CN"/>
        </w:rPr>
        <w:t>00,000.00</w:t>
      </w:r>
      <w:r>
        <w:rPr>
          <w:rFonts w:hint="eastAsia" w:ascii="仿宋_GB2312" w:hAnsi="仿宋_GB2312" w:eastAsia="仿宋_GB2312" w:cs="仿宋_GB2312"/>
          <w:color w:val="auto"/>
          <w:szCs w:val="32"/>
        </w:rPr>
        <w:t>），增价幅度为人民币（大写）</w:t>
      </w:r>
      <w:r>
        <w:rPr>
          <w:rFonts w:hint="eastAsia" w:hAnsi="仿宋_GB2312" w:cs="仿宋_GB2312"/>
          <w:color w:val="auto"/>
          <w:szCs w:val="32"/>
          <w:lang w:eastAsia="zh-CN"/>
        </w:rPr>
        <w:t>拾</w:t>
      </w:r>
      <w:r>
        <w:rPr>
          <w:rFonts w:hint="eastAsia" w:ascii="仿宋_GB2312" w:hAnsi="仿宋_GB2312" w:eastAsia="仿宋_GB2312" w:cs="仿宋_GB2312"/>
          <w:color w:val="auto"/>
          <w:szCs w:val="32"/>
        </w:rPr>
        <w:t>万元整（</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00,000.00）或</w:t>
      </w:r>
      <w:r>
        <w:rPr>
          <w:rFonts w:hint="eastAsia" w:hAnsi="仿宋_GB2312" w:cs="仿宋_GB2312"/>
          <w:color w:val="auto"/>
          <w:szCs w:val="32"/>
          <w:lang w:val="en-US" w:eastAsia="zh-CN"/>
        </w:rPr>
        <w:t>1</w:t>
      </w:r>
      <w:r>
        <w:rPr>
          <w:rFonts w:hint="eastAsia" w:ascii="仿宋_GB2312" w:hAnsi="仿宋_GB2312" w:eastAsia="仿宋_GB2312" w:cs="仿宋_GB2312"/>
          <w:color w:val="auto"/>
          <w:szCs w:val="32"/>
        </w:rPr>
        <w:t>0万元整数倍金额。</w:t>
      </w:r>
    </w:p>
    <w:p w14:paraId="45F8F3DD">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rPr>
      </w:pPr>
      <w:r>
        <w:rPr>
          <w:rFonts w:hint="eastAsia" w:eastAsia="仿宋"/>
          <w:color w:val="000000"/>
          <w:sz w:val="32"/>
          <w:szCs w:val="32"/>
        </w:rPr>
        <w:t>溢价部分全部归属地价。泉州市产权交易中心以出让地块</w:t>
      </w:r>
      <w:r>
        <w:rPr>
          <w:rFonts w:hint="eastAsia" w:eastAsia="仿宋"/>
          <w:color w:val="000000"/>
          <w:sz w:val="32"/>
          <w:szCs w:val="32"/>
          <w:lang w:eastAsia="zh-CN"/>
        </w:rPr>
        <w:t>拍卖</w:t>
      </w:r>
      <w:r>
        <w:rPr>
          <w:rFonts w:hint="eastAsia" w:eastAsia="仿宋"/>
          <w:color w:val="000000"/>
          <w:sz w:val="32"/>
          <w:szCs w:val="32"/>
        </w:rPr>
        <w:t>起始价中地上建筑物</w:t>
      </w:r>
      <w:r>
        <w:rPr>
          <w:rFonts w:hint="eastAsia" w:eastAsia="仿宋"/>
          <w:color w:val="000000"/>
          <w:sz w:val="32"/>
          <w:szCs w:val="32"/>
          <w:lang w:eastAsia="zh-CN"/>
        </w:rPr>
        <w:t>和附着物</w:t>
      </w:r>
      <w:r>
        <w:rPr>
          <w:rFonts w:hint="eastAsia" w:eastAsia="仿宋"/>
          <w:color w:val="000000"/>
          <w:sz w:val="32"/>
          <w:szCs w:val="32"/>
        </w:rPr>
        <w:t>价格为基数，按照交易佣金收费标准向竞得人收取交易佣金。</w:t>
      </w:r>
    </w:p>
    <w:p w14:paraId="2873DB9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八、拍卖程序</w:t>
      </w:r>
    </w:p>
    <w:p w14:paraId="789FFD7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（一）拍卖会程序</w:t>
      </w:r>
    </w:p>
    <w:p w14:paraId="6F731BC6">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1．拍卖主持人宣布拍卖会开始。</w:t>
      </w:r>
    </w:p>
    <w:p w14:paraId="753C360F">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2．拍卖主持人、记录员、公证员就位。</w:t>
      </w:r>
    </w:p>
    <w:p w14:paraId="23E85E29">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3．拍卖主持人点算竞买人。点到竞买号牌号码时，竞买人须举牌示意。拍卖主持人宣布竞买人到场情况。</w:t>
      </w:r>
    </w:p>
    <w:p w14:paraId="08F2CFF7">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4．拍卖主持人介绍拍卖地块的位置、面积、用途、使用年限、规划指标要求、建设时间等。</w:t>
      </w:r>
    </w:p>
    <w:p w14:paraId="18B5B0E6">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5．拍卖主持人宣布拍卖宗地的起叫价、增价规则和增价幅度，并明确提示不设保留价。在拍卖过程中，拍卖主持人可根据现场情况调整增价幅度。</w:t>
      </w:r>
    </w:p>
    <w:p w14:paraId="2C783502">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6．拍卖主持人报出起叫价，宣布竞价开始。</w:t>
      </w:r>
    </w:p>
    <w:p w14:paraId="64FCF9D9">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7．竞买人举牌应价或者报价。竞买人举牌报价，可以是主持人的叫价，也可以是叫价加上增价幅度的整数倍。竞买人报价时，手举的竞买号牌应高出头部。经主持人同意后，竞买人方可放下已经举起的竞买号牌。</w:t>
      </w:r>
    </w:p>
    <w:p w14:paraId="06379452">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8．拍卖主持人确认该竞买人应价或者报价后继续竞价。</w:t>
      </w:r>
    </w:p>
    <w:p w14:paraId="0D0AF590">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9．拍卖主持人连续三次宣布同一应价或报价而没有人再应价或出价的，拍卖主持人落槌表示拍卖成交，并宣布最高应价者为竞得人。成交结果对竞得人和出让人均具有法律效力。</w:t>
      </w:r>
    </w:p>
    <w:p w14:paraId="20C74E1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14:paraId="4CF33946">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（三）出让人与竞得人依据《成交确认书》约定签订《国有建设用地使用权出让合同》。</w:t>
      </w:r>
    </w:p>
    <w:p w14:paraId="213E29F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（四）出让结果公布</w:t>
      </w:r>
    </w:p>
    <w:p w14:paraId="216FF679">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我局将在此次国有建设用地使用权拍卖会结束后10个工作日内，在中国土地市场网（www.landchina.com）、泉州自然资源和规划</w:t>
      </w:r>
      <w:r>
        <w:rPr>
          <w:rFonts w:hint="eastAsia" w:ascii="仿宋_GB2312" w:hAnsi="仿宋_GB2312" w:eastAsia="仿宋_GB2312" w:cs="仿宋_GB2312"/>
          <w:color w:val="auto"/>
          <w:kern w:val="10"/>
          <w:szCs w:val="32"/>
        </w:rPr>
        <w:t>信息网（</w:t>
      </w:r>
      <w:r>
        <w:rPr>
          <w:rFonts w:hint="eastAsia" w:ascii="仿宋_GB2312" w:hAnsi="仿宋_GB2312" w:eastAsia="仿宋_GB2312" w:cs="仿宋_GB2312"/>
          <w:color w:val="auto"/>
          <w:szCs w:val="32"/>
        </w:rPr>
        <w:t>zyghj.quanzhou.gov.cn</w:t>
      </w:r>
      <w:r>
        <w:rPr>
          <w:rFonts w:hint="eastAsia" w:ascii="仿宋_GB2312" w:hAnsi="仿宋_GB2312" w:eastAsia="仿宋_GB2312" w:cs="仿宋_GB2312"/>
          <w:color w:val="auto"/>
          <w:kern w:val="10"/>
          <w:szCs w:val="32"/>
        </w:rPr>
        <w:t>）</w:t>
      </w:r>
      <w:r>
        <w:rPr>
          <w:rFonts w:hint="eastAsia" w:ascii="仿宋_GB2312" w:hAnsi="仿宋_GB2312" w:eastAsia="仿宋_GB2312" w:cs="仿宋_GB2312"/>
          <w:color w:val="auto"/>
          <w:szCs w:val="32"/>
        </w:rPr>
        <w:t>公布本次国有建设用地使用权拍卖出让结果。</w:t>
      </w:r>
    </w:p>
    <w:p w14:paraId="4E360FEF">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九、竞价规则</w:t>
      </w:r>
    </w:p>
    <w:p w14:paraId="318C871B">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（一）不设保留价，按照价高者得的原则确定竞得人。</w:t>
      </w:r>
    </w:p>
    <w:p w14:paraId="02A7D4C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（二）竞买人以举牌方式应价，也可以报价，报价的加价幅度不得小于拍卖主持人宣布或调整的增价幅度。</w:t>
      </w:r>
    </w:p>
    <w:p w14:paraId="0B0EEE54">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kern w:val="10"/>
          <w:szCs w:val="32"/>
        </w:rPr>
        <w:t>（三）竞买人凭《竞买资格确认书》和法定代表人（自然人、受委托代理人）身份证件领取竞买号牌。</w:t>
      </w:r>
      <w:r>
        <w:rPr>
          <w:rFonts w:hint="eastAsia" w:ascii="仿宋_GB2312" w:hAnsi="仿宋_GB2312" w:eastAsia="仿宋_GB2312" w:cs="仿宋_GB2312"/>
          <w:color w:val="auto"/>
          <w:szCs w:val="32"/>
        </w:rPr>
        <w:t>竞买号牌代表竞买人的资格。</w:t>
      </w:r>
    </w:p>
    <w:p w14:paraId="5C0F0A0C">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（四）</w:t>
      </w: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10</w:t>
      </w:r>
      <w:r>
        <w:rPr>
          <w:rFonts w:hint="eastAsia" w:ascii="仿宋_GB2312" w:hAnsi="仿宋_GB2312" w:eastAsia="仿宋_GB2312" w:cs="仿宋_GB2312"/>
          <w:color w:val="auto"/>
          <w:szCs w:val="32"/>
        </w:rPr>
        <w:t>日9</w:t>
      </w:r>
      <w:r>
        <w:rPr>
          <w:rFonts w:hint="eastAsia" w:ascii="仿宋_GB2312" w:hAnsi="仿宋_GB2312" w:eastAsia="仿宋_GB2312" w:cs="仿宋_GB2312"/>
          <w:color w:val="auto"/>
          <w:kern w:val="10"/>
          <w:szCs w:val="32"/>
        </w:rPr>
        <w:t>:00前，竞买人须领取竞买号牌并进入竞买现场，否则视为放弃竞买资格。</w:t>
      </w:r>
    </w:p>
    <w:p w14:paraId="473E3AE4">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十、缴款时间、交地时间和交地条件</w:t>
      </w:r>
    </w:p>
    <w:p w14:paraId="30D73136">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（一）缴款时间</w:t>
      </w:r>
    </w:p>
    <w:p w14:paraId="2C391BDF">
      <w:pPr>
        <w:spacing w:line="579" w:lineRule="exact"/>
        <w:ind w:firstLine="640" w:firstLineChars="200"/>
        <w:rPr>
          <w:rFonts w:hint="eastAsia" w:eastAsia="仿宋_GB2312"/>
          <w:sz w:val="32"/>
          <w:szCs w:val="32"/>
        </w:rPr>
      </w:pPr>
      <w:bookmarkStart w:id="0" w:name="_Hlk25847200"/>
      <w:r>
        <w:rPr>
          <w:rFonts w:hint="eastAsia" w:eastAsia="仿宋_GB2312"/>
          <w:sz w:val="32"/>
          <w:szCs w:val="32"/>
        </w:rPr>
        <w:t>上述</w:t>
      </w:r>
      <w:r>
        <w:rPr>
          <w:rFonts w:eastAsia="仿宋_GB2312"/>
          <w:sz w:val="32"/>
          <w:szCs w:val="32"/>
        </w:rPr>
        <w:t>地块竞得人自竞得之日起30日内应缴交成交价总额50%的成交价款（竞买保证金转作受让地块的定金，抵作土地出让价款），余款自竞得之日起</w:t>
      </w:r>
      <w:r>
        <w:rPr>
          <w:rFonts w:hint="eastAsia" w:eastAsia="仿宋_GB2312"/>
          <w:sz w:val="32"/>
          <w:szCs w:val="32"/>
          <w:lang w:val="en-US" w:eastAsia="zh-CN"/>
        </w:rPr>
        <w:t>3</w:t>
      </w:r>
      <w:r>
        <w:rPr>
          <w:rFonts w:eastAsia="仿宋_GB2312"/>
          <w:sz w:val="32"/>
          <w:szCs w:val="32"/>
        </w:rPr>
        <w:t>个月内</w:t>
      </w:r>
      <w:r>
        <w:rPr>
          <w:rFonts w:hint="eastAsia" w:eastAsia="仿宋_GB2312"/>
          <w:sz w:val="32"/>
          <w:szCs w:val="32"/>
        </w:rPr>
        <w:t>交</w:t>
      </w:r>
      <w:r>
        <w:rPr>
          <w:rFonts w:eastAsia="仿宋_GB2312"/>
          <w:sz w:val="32"/>
          <w:szCs w:val="32"/>
        </w:rPr>
        <w:t>清</w:t>
      </w:r>
      <w:r>
        <w:rPr>
          <w:rFonts w:hint="eastAsia" w:eastAsia="仿宋_GB2312"/>
          <w:sz w:val="32"/>
          <w:szCs w:val="32"/>
        </w:rPr>
        <w:t>。</w:t>
      </w:r>
    </w:p>
    <w:bookmarkEnd w:id="0"/>
    <w:p w14:paraId="450E6E1E">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竞得人应当按时支付成交价款，不能按时支付成交价款的，自违约之日起，每日按迟延支付款项的1‰向出让人缴纳违约金。延期付款超过60日，经出让人催缴后仍未支付成交价款的，出让人有权解除合同并可请求违约赔偿，竞得人无权要求退还定金。</w:t>
      </w:r>
    </w:p>
    <w:p w14:paraId="396916F3">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（二）交地时间和交地条件</w:t>
      </w:r>
    </w:p>
    <w:p w14:paraId="10232EEA">
      <w:pPr>
        <w:spacing w:line="520" w:lineRule="exact"/>
        <w:ind w:firstLine="640" w:firstLineChars="200"/>
        <w:rPr>
          <w:rFonts w:hint="eastAsia" w:ascii="仿宋_GB2312" w:hAnsi="仿宋_GB2312" w:eastAsia="仿宋_GB2312" w:cs="仿宋_GB2312"/>
          <w:color w:val="auto"/>
          <w:kern w:val="10"/>
          <w:szCs w:val="32"/>
        </w:rPr>
      </w:pPr>
      <w:r>
        <w:rPr>
          <w:rFonts w:hint="eastAsia" w:ascii="仿宋_GB2312" w:hAnsi="仿宋_GB2312" w:eastAsia="仿宋_GB2312" w:cs="仿宋_GB2312"/>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14:paraId="1D373E3E">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十一、开工、竣工时间</w:t>
      </w:r>
    </w:p>
    <w:p w14:paraId="3D36FCDF">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上述地块竞得人应在签订《国有建设用地使用权出让合同》之日起1年内开工，并在开工后</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年内竣工。</w:t>
      </w:r>
    </w:p>
    <w:p w14:paraId="6A5075D1">
      <w:pPr>
        <w:bidi w:val="0"/>
        <w:spacing w:line="600" w:lineRule="exact"/>
        <w:ind w:firstLine="640" w:firstLineChars="200"/>
        <w:rPr>
          <w:rFonts w:ascii="Times New Roman" w:hAnsi="Times New Roman"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未能按照合同约定日期或同意延建所另行约定日期开工建设但不超过一年的，每延期一日，应向出让人支付相当于国有建设用地使用权出让价款总额</w:t>
      </w:r>
      <w:bookmarkStart w:id="1" w:name="KG_YQ_WYJ_BL"/>
      <w:r>
        <w:rPr>
          <w:rFonts w:hint="eastAsia" w:ascii="Times New Roman" w:hAnsi="Times New Roman" w:eastAsia="仿宋_GB2312"/>
          <w:color w:val="auto"/>
          <w:sz w:val="32"/>
          <w:szCs w:val="32"/>
          <w:u w:val="none"/>
        </w:rPr>
        <w:t xml:space="preserve">1 </w:t>
      </w:r>
      <w:bookmarkEnd w:id="1"/>
      <w:r>
        <w:rPr>
          <w:rFonts w:ascii="Times New Roman" w:hAnsi="Times New Roman" w:eastAsia="仿宋_GB2312"/>
          <w:color w:val="auto"/>
          <w:sz w:val="32"/>
          <w:szCs w:val="32"/>
        </w:rPr>
        <w:t>‰的违约金，出让人有权要求</w:t>
      </w:r>
      <w:r>
        <w:rPr>
          <w:rFonts w:eastAsia="仿宋_GB2312"/>
          <w:color w:val="auto"/>
          <w:sz w:val="32"/>
          <w:szCs w:val="32"/>
        </w:rPr>
        <w:t>竞得人</w:t>
      </w:r>
      <w:r>
        <w:rPr>
          <w:rFonts w:ascii="Times New Roman" w:hAnsi="Times New Roman" w:eastAsia="仿宋_GB2312"/>
          <w:color w:val="auto"/>
          <w:sz w:val="32"/>
          <w:szCs w:val="32"/>
        </w:rPr>
        <w:t>继续履约。</w:t>
      </w:r>
    </w:p>
    <w:p w14:paraId="0AF45BB6">
      <w:pPr>
        <w:spacing w:line="579" w:lineRule="exact"/>
        <w:ind w:firstLine="636" w:firstLineChars="199"/>
        <w:rPr>
          <w:rFonts w:eastAsia="仿宋_GB2312"/>
          <w:color w:val="auto"/>
          <w:sz w:val="32"/>
          <w:szCs w:val="32"/>
        </w:rPr>
      </w:pPr>
      <w:r>
        <w:rPr>
          <w:rFonts w:eastAsia="仿宋_GB2312"/>
          <w:color w:val="auto"/>
          <w:sz w:val="32"/>
          <w:szCs w:val="32"/>
        </w:rPr>
        <w:t>竞得人</w:t>
      </w:r>
      <w:r>
        <w:rPr>
          <w:rFonts w:ascii="Times New Roman" w:hAnsi="Times New Roman" w:eastAsia="仿宋_GB2312"/>
          <w:color w:val="auto"/>
          <w:sz w:val="32"/>
          <w:szCs w:val="32"/>
        </w:rPr>
        <w:t>未能按照合同约定日期或同意延建所另行约定日期竣工的，每延期一日，应向出让人支付相当于未竣工计容建筑面积对应国有建设用地使用权出让价款</w:t>
      </w:r>
      <w:bookmarkStart w:id="2" w:name="JG_YQ_WYJ_BL"/>
      <w:r>
        <w:rPr>
          <w:rFonts w:hint="eastAsia" w:ascii="Times New Roman" w:hAnsi="Times New Roman" w:eastAsia="仿宋_GB2312"/>
          <w:color w:val="auto"/>
          <w:sz w:val="32"/>
          <w:szCs w:val="32"/>
          <w:u w:val="none"/>
        </w:rPr>
        <w:t xml:space="preserve">1 </w:t>
      </w:r>
      <w:bookmarkEnd w:id="2"/>
      <w:r>
        <w:rPr>
          <w:rFonts w:ascii="Times New Roman" w:hAnsi="Times New Roman" w:eastAsia="仿宋_GB2312"/>
          <w:color w:val="auto"/>
          <w:sz w:val="32"/>
          <w:szCs w:val="32"/>
        </w:rPr>
        <w:t>‰的违约金。</w:t>
      </w:r>
    </w:p>
    <w:p w14:paraId="3A1AB526">
      <w:pPr>
        <w:spacing w:line="560" w:lineRule="exact"/>
        <w:ind w:firstLine="640" w:firstLineChars="200"/>
        <w:rPr>
          <w:rFonts w:hint="eastAsia" w:ascii="仿宋_GB2312" w:hAnsi="仿宋_GB2312" w:eastAsia="仿宋_GB2312" w:cs="仿宋_GB2312"/>
          <w:color w:val="auto"/>
          <w:szCs w:val="32"/>
        </w:rPr>
      </w:pPr>
      <w:r>
        <w:rPr>
          <w:rFonts w:eastAsia="仿宋_GB2312"/>
          <w:sz w:val="32"/>
          <w:szCs w:val="32"/>
        </w:rPr>
        <w:t>竞得人应</w:t>
      </w:r>
      <w:r>
        <w:rPr>
          <w:rFonts w:hint="eastAsia" w:eastAsia="仿宋_GB2312"/>
          <w:sz w:val="32"/>
          <w:szCs w:val="32"/>
          <w:lang w:eastAsia="zh-CN"/>
        </w:rPr>
        <w:t>在开工建设、竣工验收后及时向我局进行开工、竣工申报。</w:t>
      </w:r>
    </w:p>
    <w:p w14:paraId="16E9EE8F">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竞得人造成土地闲置，按《闲置土地处置办法》有关规定执行。</w:t>
      </w:r>
    </w:p>
    <w:p w14:paraId="4902DC5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十二、注意事项</w:t>
      </w:r>
    </w:p>
    <w:p w14:paraId="6EE2F3A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（一）竞买人须全面阅读有关拍卖文件，如有疑问可以在拍卖会开始日以前用书面或口头方式向我局咨询。竞买人可到现场踏勘拍卖出让地块。申请一经受理确认后，即视为</w:t>
      </w:r>
      <w:bookmarkStart w:id="3" w:name="_Hlk85133807"/>
      <w:r>
        <w:rPr>
          <w:rFonts w:hint="eastAsia" w:ascii="仿宋_GB2312" w:hAnsi="仿宋_GB2312" w:eastAsia="仿宋_GB2312" w:cs="仿宋_GB2312"/>
          <w:color w:val="auto"/>
          <w:szCs w:val="32"/>
        </w:rPr>
        <w:t>竞买人</w:t>
      </w:r>
      <w:bookmarkEnd w:id="3"/>
      <w:r>
        <w:rPr>
          <w:rFonts w:hint="eastAsia" w:ascii="仿宋_GB2312" w:hAnsi="仿宋_GB2312" w:eastAsia="仿宋_GB2312" w:cs="仿宋_GB2312"/>
          <w:color w:val="auto"/>
          <w:szCs w:val="32"/>
        </w:rPr>
        <w:t>对拍卖文件及地块现状无异议并全部接受，并对有关承诺承担法律责任。</w:t>
      </w:r>
    </w:p>
    <w:p w14:paraId="45664CE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14:paraId="62A76EC8">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（三）竞买人一经应价或报价，不可撤回。</w:t>
      </w:r>
    </w:p>
    <w:p w14:paraId="66C466FC">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14:paraId="459CE34B">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14:paraId="2EF70498">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（六）有下列情形之一的，出让人或组织方应当在拍卖会前终止拍卖活动，并通知竞买人：</w:t>
      </w:r>
    </w:p>
    <w:p w14:paraId="7DF85BE9">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1．竞买人串通损害国家利益、社会利益或他人合法权益的；</w:t>
      </w:r>
    </w:p>
    <w:p w14:paraId="672DA047">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2．拍卖工作人员私下接触竞买人，足以影响拍卖公正性的；</w:t>
      </w:r>
    </w:p>
    <w:p w14:paraId="3055D5C0">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3．应当依法终止拍卖活动的其他情形。</w:t>
      </w:r>
    </w:p>
    <w:p w14:paraId="25A3C55A">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（七）竞得人有下列行为之一的，视为违约，出让人或组织方可取消其竞得人资格，竞买保证金不予退还：</w:t>
      </w:r>
    </w:p>
    <w:p w14:paraId="0BA91A68">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1．竞得人逾期或拒绝签订《成交确认书》的；</w:t>
      </w:r>
    </w:p>
    <w:p w14:paraId="4717C6C1">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w:t>
      </w:r>
      <w:bookmarkStart w:id="4" w:name="OLE_LINK2"/>
      <w:r>
        <w:rPr>
          <w:rFonts w:hint="eastAsia" w:ascii="仿宋_GB2312" w:hAnsi="仿宋_GB2312" w:eastAsia="仿宋_GB2312" w:cs="仿宋_GB2312"/>
          <w:color w:val="auto"/>
          <w:szCs w:val="32"/>
        </w:rPr>
        <w:t>．</w:t>
      </w:r>
      <w:bookmarkEnd w:id="4"/>
      <w:r>
        <w:rPr>
          <w:rFonts w:hint="eastAsia" w:ascii="仿宋_GB2312" w:hAnsi="仿宋_GB2312" w:eastAsia="仿宋_GB2312" w:cs="仿宋_GB2312"/>
          <w:color w:val="auto"/>
          <w:szCs w:val="32"/>
        </w:rPr>
        <w:t>竞得人逾期或拒绝签订《国有建设用地使用权出让合同》的。</w:t>
      </w:r>
    </w:p>
    <w:p w14:paraId="46023D7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3．竞得人开出的银行支票或汇票在有效期内不能兑现或不能全部兑现。</w:t>
      </w:r>
    </w:p>
    <w:p w14:paraId="535E4665">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因竞得人违约，竞得人应当支付本次拍卖活动所支出的全部费用；出让人另行出让的价格低于原拍卖成交价的，原竞得人须按实际差额支付赔偿金。该幅地块拍卖成交价币种为人民币。</w:t>
      </w:r>
    </w:p>
    <w:p w14:paraId="7E0890A7">
      <w:pPr>
        <w:numPr>
          <w:ilvl w:val="0"/>
          <w:numId w:val="2"/>
        </w:num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14:paraId="5E779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2332EBC1">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14:paraId="34E703F2">
            <w:pPr>
              <w:spacing w:line="520" w:lineRule="exact"/>
              <w:jc w:val="center"/>
              <w:rPr>
                <w:rFonts w:ascii="Times New Roman" w:eastAsia="仿宋"/>
                <w:color w:val="auto"/>
                <w:szCs w:val="32"/>
              </w:rPr>
            </w:pPr>
            <w:r>
              <w:rPr>
                <w:rFonts w:ascii="Times New Roman" w:eastAsia="仿宋"/>
                <w:color w:val="auto"/>
                <w:szCs w:val="32"/>
              </w:rPr>
              <w:t>费率</w:t>
            </w:r>
          </w:p>
        </w:tc>
      </w:tr>
      <w:tr w14:paraId="320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7E37AF8">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14:paraId="7CEADC00">
            <w:pPr>
              <w:spacing w:line="520" w:lineRule="exact"/>
              <w:jc w:val="center"/>
              <w:rPr>
                <w:rFonts w:ascii="Times New Roman" w:eastAsia="仿宋"/>
                <w:color w:val="auto"/>
                <w:szCs w:val="32"/>
              </w:rPr>
            </w:pPr>
            <w:r>
              <w:rPr>
                <w:rFonts w:ascii="Times New Roman" w:eastAsia="仿宋"/>
                <w:color w:val="auto"/>
                <w:szCs w:val="32"/>
              </w:rPr>
              <w:t>0.45%</w:t>
            </w:r>
          </w:p>
        </w:tc>
      </w:tr>
      <w:tr w14:paraId="5FF9E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E9B04FC">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14:paraId="629CEB69">
            <w:pPr>
              <w:spacing w:line="520" w:lineRule="exact"/>
              <w:jc w:val="center"/>
              <w:rPr>
                <w:rFonts w:ascii="Times New Roman" w:eastAsia="仿宋"/>
                <w:color w:val="auto"/>
                <w:szCs w:val="32"/>
              </w:rPr>
            </w:pPr>
            <w:r>
              <w:rPr>
                <w:rFonts w:ascii="Times New Roman" w:eastAsia="仿宋"/>
                <w:color w:val="auto"/>
                <w:szCs w:val="32"/>
              </w:rPr>
              <w:t>0.4%</w:t>
            </w: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57FB92A4">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14:paraId="112F003A">
            <w:pPr>
              <w:spacing w:line="520" w:lineRule="exact"/>
              <w:jc w:val="center"/>
              <w:rPr>
                <w:rFonts w:ascii="Times New Roman" w:eastAsia="仿宋"/>
                <w:color w:val="auto"/>
                <w:szCs w:val="32"/>
              </w:rPr>
            </w:pPr>
            <w:r>
              <w:rPr>
                <w:rFonts w:ascii="Times New Roman" w:eastAsia="仿宋"/>
                <w:color w:val="auto"/>
                <w:szCs w:val="32"/>
              </w:rPr>
              <w:t>0.3%</w:t>
            </w:r>
          </w:p>
        </w:tc>
      </w:tr>
      <w:tr w14:paraId="164B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074C3ED1">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14:paraId="7C0E5A74">
            <w:pPr>
              <w:spacing w:line="520" w:lineRule="exact"/>
              <w:jc w:val="center"/>
              <w:rPr>
                <w:rFonts w:ascii="Times New Roman" w:eastAsia="仿宋"/>
                <w:color w:val="auto"/>
                <w:szCs w:val="32"/>
              </w:rPr>
            </w:pPr>
            <w:r>
              <w:rPr>
                <w:rFonts w:ascii="Times New Roman" w:eastAsia="仿宋"/>
                <w:color w:val="auto"/>
                <w:szCs w:val="32"/>
              </w:rPr>
              <w:t>0.2%</w:t>
            </w:r>
          </w:p>
        </w:tc>
      </w:tr>
      <w:tr w14:paraId="49CC6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50EFC1CD">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14:paraId="59185F7A">
            <w:pPr>
              <w:spacing w:line="520" w:lineRule="exact"/>
              <w:jc w:val="center"/>
              <w:rPr>
                <w:rFonts w:ascii="Times New Roman" w:eastAsia="仿宋"/>
                <w:color w:val="auto"/>
                <w:szCs w:val="32"/>
              </w:rPr>
            </w:pPr>
            <w:r>
              <w:rPr>
                <w:rFonts w:ascii="Times New Roman" w:eastAsia="仿宋"/>
                <w:color w:val="auto"/>
                <w:szCs w:val="32"/>
              </w:rPr>
              <w:t>0.1%</w:t>
            </w:r>
          </w:p>
        </w:tc>
      </w:tr>
      <w:tr w14:paraId="5D7A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0" w:type="dxa"/>
          </w:tcPr>
          <w:p w14:paraId="6325D79F">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14:paraId="5DA306C2">
            <w:pPr>
              <w:spacing w:line="520" w:lineRule="exact"/>
              <w:jc w:val="center"/>
              <w:rPr>
                <w:rFonts w:ascii="Times New Roman" w:eastAsia="仿宋"/>
                <w:color w:val="auto"/>
                <w:szCs w:val="32"/>
              </w:rPr>
            </w:pPr>
            <w:r>
              <w:rPr>
                <w:rFonts w:ascii="Times New Roman" w:eastAsia="仿宋"/>
                <w:color w:val="auto"/>
                <w:szCs w:val="32"/>
              </w:rPr>
              <w:t>0.08%</w:t>
            </w:r>
          </w:p>
        </w:tc>
      </w:tr>
      <w:tr w14:paraId="5BEA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14:paraId="49E9E4DB">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14:paraId="4A59D9AB">
            <w:pPr>
              <w:spacing w:line="520" w:lineRule="exact"/>
              <w:jc w:val="center"/>
              <w:rPr>
                <w:rFonts w:ascii="Times New Roman" w:eastAsia="仿宋"/>
                <w:color w:val="auto"/>
                <w:szCs w:val="32"/>
              </w:rPr>
            </w:pPr>
            <w:r>
              <w:rPr>
                <w:rFonts w:ascii="Times New Roman" w:eastAsia="仿宋"/>
                <w:color w:val="auto"/>
                <w:szCs w:val="32"/>
              </w:rPr>
              <w:t>0</w:t>
            </w:r>
          </w:p>
        </w:tc>
      </w:tr>
    </w:tbl>
    <w:p w14:paraId="42AC2408">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注：按上述费率分级累进计收，每宗收费金额不足100元的按100元收取。</w:t>
      </w:r>
    </w:p>
    <w:p w14:paraId="51E6457A">
      <w:pPr>
        <w:spacing w:line="520" w:lineRule="exac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    竞得人须在成交之日起3个工作日内将交易服务费汇到泉州市产权交易中心有限公司指定账号内。</w:t>
      </w:r>
      <w:r>
        <w:rPr>
          <w:rFonts w:hint="eastAsia" w:ascii="仿宋_GB2312" w:hAnsi="仿宋_GB2312" w:eastAsia="仿宋_GB2312" w:cs="仿宋_GB2312"/>
          <w:bCs/>
          <w:color w:val="auto"/>
          <w:szCs w:val="32"/>
        </w:rPr>
        <w:t>交易服务费账户户名</w:t>
      </w:r>
      <w:r>
        <w:rPr>
          <w:rFonts w:hint="eastAsia" w:ascii="仿宋_GB2312" w:hAnsi="仿宋_GB2312" w:eastAsia="仿宋_GB2312" w:cs="仿宋_GB2312"/>
          <w:color w:val="auto"/>
          <w:szCs w:val="32"/>
        </w:rPr>
        <w:t>：泉州市产权交易中心有限公司，兴业银行泉州丰泽支行152690100100090830。</w:t>
      </w:r>
    </w:p>
    <w:p w14:paraId="3D4D681B">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14:paraId="2CC4CB48">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（十）竞得人付清全部拍卖成交价款后，依法申请办理土地登记，领取《不动产权证》，取得土地使用权。</w:t>
      </w:r>
    </w:p>
    <w:p w14:paraId="302DE6F3">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14:paraId="4BD1B37D">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（十二）拍卖不成交的，按规定由我局重新组织出让。</w:t>
      </w:r>
    </w:p>
    <w:p w14:paraId="6D4BE684">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（十三）参加拍卖活动的人员，应遵守现场的纪律，服从管理人员的管理。</w:t>
      </w:r>
    </w:p>
    <w:p w14:paraId="1D432012">
      <w:pPr>
        <w:spacing w:line="520" w:lineRule="exact"/>
        <w:ind w:firstLine="640" w:firstLineChars="200"/>
        <w:rPr>
          <w:rFonts w:hint="eastAsia" w:ascii="仿宋_GB2312" w:hAnsi="仿宋_GB2312" w:eastAsia="仿宋_GB2312" w:cs="仿宋_GB2312"/>
          <w:color w:val="auto"/>
          <w:szCs w:val="32"/>
          <w:u w:val="single"/>
        </w:rPr>
      </w:pPr>
      <w:r>
        <w:rPr>
          <w:rFonts w:hint="eastAsia" w:ascii="仿宋_GB2312" w:hAnsi="仿宋_GB2312" w:eastAsia="仿宋_GB2312" w:cs="仿宋_GB2312"/>
          <w:color w:val="auto"/>
          <w:szCs w:val="32"/>
        </w:rPr>
        <w:t>（十四）</w:t>
      </w:r>
      <w:r>
        <w:rPr>
          <w:rFonts w:hint="eastAsia" w:ascii="仿宋_GB2312" w:hAnsi="仿宋_GB2312" w:eastAsia="仿宋_GB2312" w:cs="仿宋_GB2312"/>
          <w:color w:val="auto"/>
          <w:kern w:val="10"/>
          <w:szCs w:val="32"/>
        </w:rPr>
        <w:t>拍卖工作人员对拍卖出让标的，无论采取任何方式所作的介绍及评论，均作为参考性意见，不构成对拍卖标的任何担保。</w:t>
      </w:r>
    </w:p>
    <w:p w14:paraId="274386C3">
      <w:pPr>
        <w:spacing w:line="520" w:lineRule="exact"/>
        <w:ind w:firstLine="640" w:firstLineChars="2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（十五）我局对本《须知》有解释权。未尽事宜依照原国土资源部《招标拍卖挂牌出让国有土地使用权规范（试行）》、《福建省国有土地使用权出让工作规范（试行）》办理。</w:t>
      </w:r>
    </w:p>
    <w:p w14:paraId="0D3F081C">
      <w:pPr>
        <w:spacing w:line="520" w:lineRule="exact"/>
        <w:ind w:right="1440" w:rightChars="450"/>
        <w:rPr>
          <w:rFonts w:hint="eastAsia" w:ascii="仿宋_GB2312" w:hAnsi="仿宋_GB2312" w:eastAsia="仿宋_GB2312" w:cs="仿宋_GB2312"/>
          <w:color w:val="auto"/>
          <w:szCs w:val="32"/>
        </w:rPr>
      </w:pPr>
    </w:p>
    <w:p w14:paraId="5225BA73">
      <w:pPr>
        <w:pStyle w:val="2"/>
        <w:rPr>
          <w:rFonts w:hint="eastAsia" w:ascii="仿宋_GB2312" w:hAnsi="仿宋_GB2312" w:eastAsia="仿宋_GB2312" w:cs="仿宋_GB2312"/>
        </w:rPr>
      </w:pPr>
    </w:p>
    <w:p w14:paraId="5A08C4F0">
      <w:pPr>
        <w:spacing w:line="520" w:lineRule="exact"/>
        <w:ind w:right="1440" w:rightChars="45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泉州市自然资源和规划局</w:t>
      </w:r>
    </w:p>
    <w:p w14:paraId="0ADEA419">
      <w:pPr>
        <w:spacing w:line="520" w:lineRule="exact"/>
        <w:ind w:right="1920" w:rightChars="6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202</w:t>
      </w:r>
      <w:r>
        <w:rPr>
          <w:rFonts w:hint="eastAsia" w:ascii="仿宋_GB2312" w:hAnsi="仿宋_GB2312" w:eastAsia="仿宋_GB2312" w:cs="仿宋_GB2312"/>
          <w:color w:val="auto"/>
          <w:szCs w:val="32"/>
          <w:lang w:val="en-US" w:eastAsia="zh-CN"/>
        </w:rPr>
        <w:t>5</w:t>
      </w:r>
      <w:r>
        <w:rPr>
          <w:rFonts w:hint="eastAsia" w:ascii="仿宋_GB2312" w:hAnsi="仿宋_GB2312" w:eastAsia="仿宋_GB2312" w:cs="仿宋_GB2312"/>
          <w:color w:val="auto"/>
          <w:szCs w:val="32"/>
        </w:rPr>
        <w:t>年</w:t>
      </w:r>
      <w:r>
        <w:rPr>
          <w:rFonts w:hint="eastAsia" w:hAnsi="仿宋_GB2312" w:cs="仿宋_GB2312"/>
          <w:color w:val="auto"/>
          <w:szCs w:val="32"/>
          <w:lang w:val="en-US" w:eastAsia="zh-CN"/>
        </w:rPr>
        <w:t>9</w:t>
      </w:r>
      <w:r>
        <w:rPr>
          <w:rFonts w:hint="eastAsia" w:ascii="仿宋_GB2312" w:hAnsi="仿宋_GB2312" w:eastAsia="仿宋_GB2312" w:cs="仿宋_GB2312"/>
          <w:color w:val="auto"/>
          <w:szCs w:val="32"/>
        </w:rPr>
        <w:t>月</w:t>
      </w:r>
      <w:r>
        <w:rPr>
          <w:rFonts w:hint="eastAsia" w:hAnsi="仿宋_GB2312" w:cs="仿宋_GB2312"/>
          <w:color w:val="auto"/>
          <w:szCs w:val="32"/>
          <w:lang w:val="en-US" w:eastAsia="zh-CN"/>
        </w:rPr>
        <w:t>20</w:t>
      </w:r>
      <w:bookmarkStart w:id="5" w:name="_GoBack"/>
      <w:bookmarkEnd w:id="5"/>
      <w:r>
        <w:rPr>
          <w:rFonts w:hint="eastAsia" w:ascii="仿宋_GB2312" w:hAnsi="仿宋_GB2312" w:eastAsia="仿宋_GB2312" w:cs="仿宋_GB2312"/>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90101010101"/>
    <w:charset w:val="86"/>
    <w:family w:val="auto"/>
    <w:pitch w:val="default"/>
    <w:sig w:usb0="800002BF" w:usb1="38CF7CFA" w:usb2="00000016" w:usb3="00000000" w:csb0="6016019D" w:csb1="D3F7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仿宋_GB2312"/>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方正仿宋_GBK"/>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汉仪大宋简">
    <w:altName w:val="宋体"/>
    <w:panose1 w:val="02010600000101010101"/>
    <w:charset w:val="86"/>
    <w:family w:val="auto"/>
    <w:pitch w:val="default"/>
    <w:sig w:usb0="00000000" w:usb1="00000000" w:usb2="00000002"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BE705">
    <w:pPr>
      <w:pStyle w:val="12"/>
      <w:framePr w:wrap="around" w:vAnchor="text" w:hAnchor="margin" w:xAlign="center" w:y="1"/>
      <w:rPr>
        <w:rStyle w:val="17"/>
      </w:rPr>
    </w:pPr>
    <w:r>
      <w:fldChar w:fldCharType="begin"/>
    </w:r>
    <w:r>
      <w:rPr>
        <w:rStyle w:val="17"/>
      </w:rPr>
      <w:instrText xml:space="preserve">PAGE  </w:instrText>
    </w:r>
    <w:r>
      <w:fldChar w:fldCharType="separate"/>
    </w:r>
    <w:r>
      <w:rPr>
        <w:rStyle w:val="17"/>
      </w:rPr>
      <w:t>12</w:t>
    </w:r>
    <w:r>
      <w:fldChar w:fldCharType="end"/>
    </w:r>
  </w:p>
  <w:p w14:paraId="4F0A416D">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8660">
    <w:pPr>
      <w:pStyle w:val="12"/>
      <w:framePr w:wrap="around" w:vAnchor="text" w:hAnchor="margin" w:xAlign="center" w:y="1"/>
      <w:rPr>
        <w:rStyle w:val="17"/>
      </w:rPr>
    </w:pPr>
    <w:r>
      <w:fldChar w:fldCharType="begin"/>
    </w:r>
    <w:r>
      <w:rPr>
        <w:rStyle w:val="17"/>
      </w:rPr>
      <w:instrText xml:space="preserve">PAGE  </w:instrText>
    </w:r>
    <w:r>
      <w:fldChar w:fldCharType="end"/>
    </w:r>
  </w:p>
  <w:p w14:paraId="18F9562D">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B0064">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E5D4B3"/>
    <w:multiLevelType w:val="singleLevel"/>
    <w:tmpl w:val="F7E5D4B3"/>
    <w:lvl w:ilvl="0" w:tentative="0">
      <w:start w:val="1"/>
      <w:numFmt w:val="decimal"/>
      <w:pStyle w:val="8"/>
      <w:lvlText w:val="%1."/>
      <w:lvlJc w:val="left"/>
      <w:pPr>
        <w:tabs>
          <w:tab w:val="left" w:pos="2040"/>
        </w:tabs>
        <w:ind w:left="2040" w:hanging="360"/>
      </w:pPr>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5"/>
  <w:drawingGridHorizontalSpacing w:val="160"/>
  <w:drawingGridVerticalSpacing w:val="4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1"/>
  </w:compat>
  <w:docVars>
    <w:docVar w:name="commondata" w:val="eyJoZGlkIjoiZTU2N2M0YmZlOTJhYzVjNzZkYzBkOTkxMDVkYzE3YWIifQ=="/>
  </w:docVars>
  <w:rsids>
    <w:rsidRoot w:val="00172A27"/>
    <w:rsid w:val="000016B5"/>
    <w:rsid w:val="00002AE4"/>
    <w:rsid w:val="00003F9E"/>
    <w:rsid w:val="00006DED"/>
    <w:rsid w:val="00007284"/>
    <w:rsid w:val="00012B7E"/>
    <w:rsid w:val="000272F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22FA8"/>
    <w:rsid w:val="00230213"/>
    <w:rsid w:val="00230EA6"/>
    <w:rsid w:val="002310EC"/>
    <w:rsid w:val="002640EE"/>
    <w:rsid w:val="002641D3"/>
    <w:rsid w:val="00265439"/>
    <w:rsid w:val="002701FA"/>
    <w:rsid w:val="002747E3"/>
    <w:rsid w:val="00287634"/>
    <w:rsid w:val="00297A19"/>
    <w:rsid w:val="002A493F"/>
    <w:rsid w:val="002A62DB"/>
    <w:rsid w:val="002B0B0C"/>
    <w:rsid w:val="002B1A68"/>
    <w:rsid w:val="002B2DAB"/>
    <w:rsid w:val="002B5E05"/>
    <w:rsid w:val="002C2C99"/>
    <w:rsid w:val="002C4BE5"/>
    <w:rsid w:val="002C622F"/>
    <w:rsid w:val="002D4747"/>
    <w:rsid w:val="002D60EF"/>
    <w:rsid w:val="002D6203"/>
    <w:rsid w:val="002E3F49"/>
    <w:rsid w:val="002F405D"/>
    <w:rsid w:val="002F61D2"/>
    <w:rsid w:val="00305481"/>
    <w:rsid w:val="00306D3C"/>
    <w:rsid w:val="003137B2"/>
    <w:rsid w:val="00314E95"/>
    <w:rsid w:val="00351390"/>
    <w:rsid w:val="00355A1D"/>
    <w:rsid w:val="00370D21"/>
    <w:rsid w:val="00371488"/>
    <w:rsid w:val="00374ED8"/>
    <w:rsid w:val="0038165A"/>
    <w:rsid w:val="003824A3"/>
    <w:rsid w:val="003834BA"/>
    <w:rsid w:val="00387C74"/>
    <w:rsid w:val="0039207F"/>
    <w:rsid w:val="00392175"/>
    <w:rsid w:val="003963F2"/>
    <w:rsid w:val="003A1A81"/>
    <w:rsid w:val="003B178E"/>
    <w:rsid w:val="003B4A36"/>
    <w:rsid w:val="003C3F2E"/>
    <w:rsid w:val="003E153A"/>
    <w:rsid w:val="00400F82"/>
    <w:rsid w:val="004013BA"/>
    <w:rsid w:val="00402C58"/>
    <w:rsid w:val="004218FA"/>
    <w:rsid w:val="00423CC5"/>
    <w:rsid w:val="00427340"/>
    <w:rsid w:val="0043783F"/>
    <w:rsid w:val="00451A04"/>
    <w:rsid w:val="00451F9D"/>
    <w:rsid w:val="00453EA0"/>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0E5A"/>
    <w:rsid w:val="004F183F"/>
    <w:rsid w:val="004F6EA6"/>
    <w:rsid w:val="004F74E4"/>
    <w:rsid w:val="00511B4C"/>
    <w:rsid w:val="00511D8D"/>
    <w:rsid w:val="0051676C"/>
    <w:rsid w:val="00516D6D"/>
    <w:rsid w:val="005246B4"/>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707B2"/>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47C95"/>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044D"/>
    <w:rsid w:val="00BC1079"/>
    <w:rsid w:val="00BD7737"/>
    <w:rsid w:val="00BE5931"/>
    <w:rsid w:val="00BE5A94"/>
    <w:rsid w:val="00C058D9"/>
    <w:rsid w:val="00C119BB"/>
    <w:rsid w:val="00C31BA7"/>
    <w:rsid w:val="00C31C32"/>
    <w:rsid w:val="00C40B94"/>
    <w:rsid w:val="00C41A28"/>
    <w:rsid w:val="00C46747"/>
    <w:rsid w:val="00C503D2"/>
    <w:rsid w:val="00C53A6B"/>
    <w:rsid w:val="00C84B93"/>
    <w:rsid w:val="00C979BC"/>
    <w:rsid w:val="00CA1CD9"/>
    <w:rsid w:val="00CA48D8"/>
    <w:rsid w:val="00CA624D"/>
    <w:rsid w:val="00CA6C71"/>
    <w:rsid w:val="00CB24B8"/>
    <w:rsid w:val="00CD5A27"/>
    <w:rsid w:val="00CE77D0"/>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4CD3"/>
    <w:rsid w:val="00E86714"/>
    <w:rsid w:val="00E87845"/>
    <w:rsid w:val="00E9243E"/>
    <w:rsid w:val="00EA1A86"/>
    <w:rsid w:val="00EA7921"/>
    <w:rsid w:val="00EC40B9"/>
    <w:rsid w:val="00ED3292"/>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22B6D58"/>
    <w:rsid w:val="03D0075A"/>
    <w:rsid w:val="060058D9"/>
    <w:rsid w:val="076B4F50"/>
    <w:rsid w:val="0A050A0A"/>
    <w:rsid w:val="105D2635"/>
    <w:rsid w:val="10801B04"/>
    <w:rsid w:val="13867A9F"/>
    <w:rsid w:val="14C702EB"/>
    <w:rsid w:val="157435CA"/>
    <w:rsid w:val="15956862"/>
    <w:rsid w:val="17646D55"/>
    <w:rsid w:val="17861AEB"/>
    <w:rsid w:val="185C25B1"/>
    <w:rsid w:val="1AB322F0"/>
    <w:rsid w:val="1F351FAF"/>
    <w:rsid w:val="1F86792F"/>
    <w:rsid w:val="1FF746DA"/>
    <w:rsid w:val="20772D49"/>
    <w:rsid w:val="20B024A1"/>
    <w:rsid w:val="25205CF8"/>
    <w:rsid w:val="25E129FE"/>
    <w:rsid w:val="29535BBE"/>
    <w:rsid w:val="2BD42381"/>
    <w:rsid w:val="2E9F243D"/>
    <w:rsid w:val="2EE17814"/>
    <w:rsid w:val="2FEF7D77"/>
    <w:rsid w:val="31417311"/>
    <w:rsid w:val="3566232B"/>
    <w:rsid w:val="39DD2AC7"/>
    <w:rsid w:val="3A314ED2"/>
    <w:rsid w:val="3A7D040E"/>
    <w:rsid w:val="3B0E44F4"/>
    <w:rsid w:val="3B7FC157"/>
    <w:rsid w:val="3D15067F"/>
    <w:rsid w:val="3D9D83DD"/>
    <w:rsid w:val="3DB14890"/>
    <w:rsid w:val="3E8C3A26"/>
    <w:rsid w:val="3F5FF36E"/>
    <w:rsid w:val="3F73645C"/>
    <w:rsid w:val="3FB73CFF"/>
    <w:rsid w:val="3FFCE01F"/>
    <w:rsid w:val="3FFF14EC"/>
    <w:rsid w:val="412A0477"/>
    <w:rsid w:val="42041D48"/>
    <w:rsid w:val="45D07A7B"/>
    <w:rsid w:val="45FB48A4"/>
    <w:rsid w:val="48DB5365"/>
    <w:rsid w:val="48E2729B"/>
    <w:rsid w:val="4BDF7549"/>
    <w:rsid w:val="4DF37842"/>
    <w:rsid w:val="4F46621E"/>
    <w:rsid w:val="4FEDCE04"/>
    <w:rsid w:val="520F40B5"/>
    <w:rsid w:val="53417DE8"/>
    <w:rsid w:val="545D6861"/>
    <w:rsid w:val="551E49A7"/>
    <w:rsid w:val="565C1810"/>
    <w:rsid w:val="58805E0B"/>
    <w:rsid w:val="59FFFD36"/>
    <w:rsid w:val="5A100A69"/>
    <w:rsid w:val="5AC66E6D"/>
    <w:rsid w:val="5C2F2B85"/>
    <w:rsid w:val="5C99BAAC"/>
    <w:rsid w:val="5CCEE906"/>
    <w:rsid w:val="5D711BC1"/>
    <w:rsid w:val="5DC00719"/>
    <w:rsid w:val="5E6370DC"/>
    <w:rsid w:val="5E7210B7"/>
    <w:rsid w:val="5EBE1F44"/>
    <w:rsid w:val="5EF61BEE"/>
    <w:rsid w:val="5F75A2CF"/>
    <w:rsid w:val="5FFCDEF8"/>
    <w:rsid w:val="5FFE5D64"/>
    <w:rsid w:val="61E31F82"/>
    <w:rsid w:val="623173B1"/>
    <w:rsid w:val="627AADA0"/>
    <w:rsid w:val="64B6114A"/>
    <w:rsid w:val="654D6D68"/>
    <w:rsid w:val="67835892"/>
    <w:rsid w:val="69287FF9"/>
    <w:rsid w:val="69BA7FBC"/>
    <w:rsid w:val="69EF4473"/>
    <w:rsid w:val="69F5315F"/>
    <w:rsid w:val="6C3D038A"/>
    <w:rsid w:val="6C5E3ED7"/>
    <w:rsid w:val="6D601559"/>
    <w:rsid w:val="6DC95D5B"/>
    <w:rsid w:val="6DCF1B23"/>
    <w:rsid w:val="6F4A2587"/>
    <w:rsid w:val="6F565F34"/>
    <w:rsid w:val="6F817756"/>
    <w:rsid w:val="6FBBBABD"/>
    <w:rsid w:val="6FEE53D9"/>
    <w:rsid w:val="706C57A0"/>
    <w:rsid w:val="70856287"/>
    <w:rsid w:val="71BFAB18"/>
    <w:rsid w:val="71CC5BD1"/>
    <w:rsid w:val="735B762D"/>
    <w:rsid w:val="73E38C26"/>
    <w:rsid w:val="73FF5AE4"/>
    <w:rsid w:val="75BE6923"/>
    <w:rsid w:val="75DE796D"/>
    <w:rsid w:val="761B3A3C"/>
    <w:rsid w:val="772C6592"/>
    <w:rsid w:val="7BFD8D70"/>
    <w:rsid w:val="7C614DBC"/>
    <w:rsid w:val="7CED3003"/>
    <w:rsid w:val="7CFE5411"/>
    <w:rsid w:val="7DC16531"/>
    <w:rsid w:val="7DFD2408"/>
    <w:rsid w:val="7EAD2CF4"/>
    <w:rsid w:val="7FAFA16A"/>
    <w:rsid w:val="AB37B5F2"/>
    <w:rsid w:val="AFFF219C"/>
    <w:rsid w:val="B6F5B665"/>
    <w:rsid w:val="B7DB20F6"/>
    <w:rsid w:val="BCBFEF2C"/>
    <w:rsid w:val="BD3B2D74"/>
    <w:rsid w:val="BEE466A8"/>
    <w:rsid w:val="BFF9E321"/>
    <w:rsid w:val="C77BCFBB"/>
    <w:rsid w:val="CDDBF24C"/>
    <w:rsid w:val="D7BBABC2"/>
    <w:rsid w:val="DD7C8DA1"/>
    <w:rsid w:val="DF7D7243"/>
    <w:rsid w:val="E73B06B3"/>
    <w:rsid w:val="EEF264BC"/>
    <w:rsid w:val="EF9DD4E3"/>
    <w:rsid w:val="F33752BE"/>
    <w:rsid w:val="F6EBC90C"/>
    <w:rsid w:val="F9D441FD"/>
    <w:rsid w:val="FBBFE06A"/>
    <w:rsid w:val="FD9FE1A1"/>
    <w:rsid w:val="FDC68BD7"/>
    <w:rsid w:val="FED7EB8E"/>
    <w:rsid w:val="FEEFBEE0"/>
    <w:rsid w:val="FFF715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color w:val="000000"/>
      <w:sz w:val="32"/>
      <w:lang w:val="en-US" w:eastAsia="zh-CN" w:bidi="ar-SA"/>
    </w:rPr>
  </w:style>
  <w:style w:type="paragraph" w:styleId="5">
    <w:name w:val="heading 1"/>
    <w:basedOn w:val="1"/>
    <w:next w:val="1"/>
    <w:qFormat/>
    <w:uiPriority w:val="0"/>
    <w:pPr>
      <w:keepNext/>
      <w:keepLines/>
      <w:spacing w:before="340" w:after="330" w:line="576" w:lineRule="auto"/>
      <w:outlineLvl w:val="0"/>
    </w:pPr>
    <w:rPr>
      <w:b/>
      <w:kern w:val="44"/>
      <w:sz w:val="44"/>
    </w:rPr>
  </w:style>
  <w:style w:type="character" w:default="1" w:styleId="16">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4"/>
    <w:qFormat/>
    <w:uiPriority w:val="0"/>
    <w:pPr>
      <w:ind w:firstLine="640" w:firstLineChars="200"/>
    </w:pPr>
    <w:rPr>
      <w:rFonts w:eastAsia="仿宋_GB2312"/>
      <w:sz w:val="32"/>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qFormat/>
    <w:uiPriority w:val="0"/>
    <w:pPr>
      <w:spacing w:line="500" w:lineRule="exact"/>
    </w:pPr>
    <w:rPr>
      <w:sz w:val="30"/>
    </w:rPr>
  </w:style>
  <w:style w:type="paragraph" w:styleId="7">
    <w:name w:val="Plain Text"/>
    <w:basedOn w:val="1"/>
    <w:next w:val="8"/>
    <w:qFormat/>
    <w:uiPriority w:val="0"/>
    <w:rPr>
      <w:rFonts w:hAnsi="Courier New"/>
    </w:rPr>
  </w:style>
  <w:style w:type="paragraph" w:styleId="8">
    <w:name w:val="List Number 5"/>
    <w:basedOn w:val="1"/>
    <w:semiHidden/>
    <w:unhideWhenUsed/>
    <w:qFormat/>
    <w:uiPriority w:val="0"/>
    <w:pPr>
      <w:numPr>
        <w:ilvl w:val="0"/>
        <w:numId w:val="1"/>
      </w:numPr>
    </w:pPr>
  </w:style>
  <w:style w:type="paragraph" w:styleId="9">
    <w:name w:val="Date"/>
    <w:basedOn w:val="1"/>
    <w:next w:val="1"/>
    <w:qFormat/>
    <w:uiPriority w:val="0"/>
    <w:pPr>
      <w:ind w:left="100" w:leftChars="2500"/>
    </w:pPr>
  </w:style>
  <w:style w:type="paragraph" w:styleId="10">
    <w:name w:val="Body Text Indent 2"/>
    <w:basedOn w:val="1"/>
    <w:qFormat/>
    <w:uiPriority w:val="0"/>
    <w:pPr>
      <w:ind w:firstLine="600"/>
    </w:p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Normal (Web)"/>
    <w:basedOn w:val="1"/>
    <w:unhideWhenUsed/>
    <w:qFormat/>
    <w:uiPriority w:val="0"/>
    <w:pPr>
      <w:spacing w:beforeAutospacing="1" w:afterAutospacing="1"/>
      <w:jc w:val="left"/>
    </w:pPr>
    <w:rPr>
      <w:sz w:val="24"/>
    </w:rPr>
  </w:style>
  <w:style w:type="table" w:styleId="15">
    <w:name w:val="Table Grid"/>
    <w:basedOn w:val="14"/>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qFormat/>
    <w:uiPriority w:val="0"/>
    <w:rPr>
      <w:color w:val="0000FF"/>
      <w:u w:val="single"/>
    </w:rPr>
  </w:style>
  <w:style w:type="paragraph" w:customStyle="1" w:styleId="19">
    <w:name w:val="Char"/>
    <w:basedOn w:val="1"/>
    <w:qFormat/>
    <w:uiPriority w:val="0"/>
  </w:style>
  <w:style w:type="paragraph" w:customStyle="1" w:styleId="20">
    <w:name w:val="_Style 3"/>
    <w:basedOn w:val="1"/>
    <w:qFormat/>
    <w:uiPriority w:val="0"/>
  </w:style>
  <w:style w:type="paragraph" w:customStyle="1" w:styleId="21">
    <w:name w:val="Char Char"/>
    <w:basedOn w:val="1"/>
    <w:qFormat/>
    <w:uiPriority w:val="0"/>
    <w:rPr>
      <w:rFonts w:ascii="Times New Roman" w:eastAsia="宋体"/>
      <w:color w:val="auto"/>
      <w:kern w:val="2"/>
      <w:sz w:val="21"/>
      <w:szCs w:val="24"/>
    </w:rPr>
  </w:style>
  <w:style w:type="paragraph" w:customStyle="1" w:styleId="22">
    <w:name w:val="Char Char8"/>
    <w:basedOn w:val="1"/>
    <w:qFormat/>
    <w:uiPriority w:val="0"/>
    <w:rPr>
      <w:rFonts w:ascii="Times New Roman" w:eastAsia="宋体"/>
      <w:color w:val="auto"/>
      <w:kern w:val="2"/>
      <w:sz w:val="21"/>
      <w:szCs w:val="24"/>
    </w:rPr>
  </w:style>
  <w:style w:type="paragraph" w:customStyle="1" w:styleId="23">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dfdf</Company>
  <Pages>12</Pages>
  <Words>6853</Words>
  <Characters>7287</Characters>
  <Lines>45</Lines>
  <Paragraphs>12</Paragraphs>
  <TotalTime>4</TotalTime>
  <ScaleCrop>false</ScaleCrop>
  <LinksUpToDate>false</LinksUpToDate>
  <CharactersWithSpaces>7315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2019-12-20T15:04:00Z</dcterms:created>
  <dc:creator>未羽</dc:creator>
  <cp:lastModifiedBy>user</cp:lastModifiedBy>
  <cp:lastPrinted>2021-12-09T23:02:00Z</cp:lastPrinted>
  <dcterms:modified xsi:type="dcterms:W3CDTF">2025-09-19T17:21:29Z</dcterms:modified>
  <dc:title>国有建设用地使用权拍卖出让须知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147DB053FB7B4A7CAC58A0FE60B8BF0F</vt:lpwstr>
  </property>
  <property fmtid="{D5CDD505-2E9C-101B-9397-08002B2CF9AE}" pid="4" name="KSOTemplateDocerSaveRecord">
    <vt:lpwstr>eyJoZGlkIjoiMjljMjQ1MGE2NTc3NDY5NjkzYjBhNWE2ZDQ4Y2RkYTEiLCJ1c2VySWQiOiI1MjM2NzUwMDcifQ==</vt:lpwstr>
  </property>
</Properties>
</file>