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483FD">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eastAsia="zh-CN"/>
        </w:rPr>
        <w:t>丰</w:t>
      </w:r>
      <w:r>
        <w:rPr>
          <w:rFonts w:hint="default" w:ascii="Times New Roman" w:hAnsi="Times New Roman" w:eastAsia="方正小标宋简体" w:cs="Times New Roman"/>
          <w:bCs/>
          <w:color w:val="auto"/>
          <w:sz w:val="44"/>
          <w:szCs w:val="44"/>
          <w:lang w:val="en-US" w:eastAsia="zh-CN"/>
        </w:rPr>
        <w:t>2025-</w:t>
      </w:r>
      <w:r>
        <w:rPr>
          <w:rFonts w:hint="eastAsia" w:ascii="Times New Roman" w:eastAsia="方正小标宋简体" w:cs="Times New Roman"/>
          <w:bCs/>
          <w:color w:val="auto"/>
          <w:sz w:val="44"/>
          <w:szCs w:val="44"/>
          <w:lang w:val="en-US" w:eastAsia="zh-CN"/>
        </w:rPr>
        <w:t>9</w:t>
      </w:r>
      <w:r>
        <w:rPr>
          <w:rFonts w:hint="default" w:ascii="Times New Roman" w:hAnsi="Times New Roman" w:eastAsia="方正小标宋简体" w:cs="Times New Roman"/>
          <w:bCs/>
          <w:color w:val="auto"/>
          <w:sz w:val="44"/>
          <w:szCs w:val="44"/>
          <w:lang w:val="en-US" w:eastAsia="zh-CN"/>
        </w:rPr>
        <w:t>号</w:t>
      </w:r>
      <w:r>
        <w:rPr>
          <w:rFonts w:hint="eastAsia" w:ascii="Times New Roman" w:eastAsia="方正小标宋简体" w:cs="Times New Roman"/>
          <w:bCs/>
          <w:color w:val="auto"/>
          <w:sz w:val="44"/>
          <w:szCs w:val="44"/>
          <w:lang w:val="en-US" w:eastAsia="zh-CN"/>
        </w:rPr>
        <w:t>、丰2025-25号</w:t>
      </w:r>
      <w:r>
        <w:rPr>
          <w:rFonts w:hint="default" w:ascii="Times New Roman" w:hAnsi="Times New Roman" w:eastAsia="方正小标宋简体" w:cs="Times New Roman"/>
          <w:bCs/>
          <w:color w:val="auto"/>
          <w:sz w:val="44"/>
          <w:szCs w:val="44"/>
        </w:rPr>
        <w:t>地块国有</w:t>
      </w:r>
    </w:p>
    <w:p w14:paraId="231D7346">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建设用地使用权拍卖出让须知</w:t>
      </w:r>
    </w:p>
    <w:p w14:paraId="2AE98790">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cs="Times New Roman"/>
          <w:b/>
          <w:color w:val="auto"/>
          <w:szCs w:val="32"/>
        </w:rPr>
      </w:pPr>
    </w:p>
    <w:p w14:paraId="0E34F06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丰202</w:t>
      </w:r>
      <w:r>
        <w:rPr>
          <w:rFonts w:hint="default" w:ascii="Times New Roman" w:hAnsi="Times New Roman" w:cs="Times New Roman"/>
          <w:color w:val="auto"/>
          <w:szCs w:val="32"/>
          <w:lang w:val="en-US" w:eastAsia="zh-CN"/>
        </w:rPr>
        <w:t>5</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val="en-US" w:eastAsia="zh-CN"/>
        </w:rPr>
        <w:t>9</w:t>
      </w:r>
      <w:r>
        <w:rPr>
          <w:rFonts w:hint="default" w:ascii="Times New Roman" w:hAnsi="Times New Roman" w:eastAsia="仿宋_GB2312" w:cs="Times New Roman"/>
          <w:color w:val="auto"/>
          <w:szCs w:val="32"/>
        </w:rPr>
        <w:t>号</w:t>
      </w:r>
      <w:r>
        <w:rPr>
          <w:rFonts w:hint="default" w:ascii="Times New Roman" w:hAnsi="Times New Roman" w:cs="Times New Roman"/>
          <w:color w:val="auto"/>
          <w:szCs w:val="32"/>
          <w:lang w:eastAsia="zh-CN"/>
        </w:rPr>
        <w:t>、丰</w:t>
      </w:r>
      <w:r>
        <w:rPr>
          <w:rFonts w:hint="default" w:ascii="Times New Roman" w:hAnsi="Times New Roman" w:cs="Times New Roman"/>
          <w:color w:val="auto"/>
          <w:szCs w:val="32"/>
          <w:lang w:val="en-US" w:eastAsia="zh-CN"/>
        </w:rPr>
        <w:t>2025-25号地块</w:t>
      </w:r>
      <w:r>
        <w:rPr>
          <w:rFonts w:hint="default" w:ascii="Times New Roman" w:hAnsi="Times New Roman" w:eastAsia="仿宋_GB2312" w:cs="Times New Roman"/>
          <w:color w:val="auto"/>
          <w:szCs w:val="32"/>
        </w:rPr>
        <w:t>国有建设用地使用权。</w:t>
      </w:r>
    </w:p>
    <w:p w14:paraId="7F28C5A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14:paraId="6779AE8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二、拍卖出让活动时间、地点</w:t>
      </w:r>
    </w:p>
    <w:p w14:paraId="66677A5B">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拍卖时间：202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default" w:ascii="Times New Roman" w:hAnsi="Times New Roman" w:cs="Times New Roman"/>
          <w:color w:val="auto"/>
          <w:sz w:val="32"/>
          <w:szCs w:val="32"/>
          <w:lang w:val="en-US" w:eastAsia="zh-CN"/>
        </w:rPr>
        <w:t>21</w:t>
      </w:r>
      <w:r>
        <w:rPr>
          <w:rFonts w:hint="default" w:ascii="Times New Roman" w:hAnsi="Times New Roman" w:eastAsia="仿宋_GB2312" w:cs="Times New Roman"/>
          <w:color w:val="auto"/>
          <w:sz w:val="32"/>
          <w:szCs w:val="32"/>
        </w:rPr>
        <w:t>日9：00。</w:t>
      </w:r>
    </w:p>
    <w:p w14:paraId="0E0E244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拍卖地点：泉州市政务服务中心（东海大厦）A幢442室（地址：泉州市丰泽区海星街100号）。</w:t>
      </w:r>
    </w:p>
    <w:p w14:paraId="2E15F59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三、本次国有建设用地使用权拍卖出让按照价高者得的原则确定竞得人，不设保留价。</w:t>
      </w:r>
    </w:p>
    <w:p w14:paraId="7A66336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四、出让地块的基本情况、规划指标和相关要求：</w:t>
      </w:r>
    </w:p>
    <w:p w14:paraId="18F2F2D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（一）地块的基本情况</w:t>
      </w:r>
    </w:p>
    <w:p w14:paraId="15BB5A2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rPr>
        <w:t>丰2025-</w:t>
      </w:r>
      <w:r>
        <w:rPr>
          <w:rFonts w:hint="default" w:ascii="Times New Roman" w:hAnsi="Times New Roman" w:eastAsia="楷体_GB2312" w:cs="Times New Roman"/>
          <w:b/>
          <w:color w:val="auto"/>
          <w:sz w:val="32"/>
          <w:szCs w:val="32"/>
          <w:lang w:val="en-US" w:eastAsia="zh-CN"/>
        </w:rPr>
        <w:t>9</w:t>
      </w:r>
      <w:r>
        <w:rPr>
          <w:rFonts w:hint="default" w:ascii="Times New Roman" w:hAnsi="Times New Roman" w:eastAsia="楷体_GB2312" w:cs="Times New Roman"/>
          <w:b/>
          <w:color w:val="auto"/>
          <w:sz w:val="32"/>
          <w:szCs w:val="32"/>
        </w:rPr>
        <w:t>号地块。</w:t>
      </w:r>
      <w:r>
        <w:rPr>
          <w:rFonts w:hint="default" w:ascii="Times New Roman" w:hAnsi="Times New Roman" w:eastAsia="仿宋_GB2312" w:cs="Times New Roman"/>
          <w:color w:val="auto"/>
          <w:sz w:val="32"/>
          <w:szCs w:val="32"/>
        </w:rPr>
        <w:t>该宗地即2023-</w:t>
      </w:r>
      <w:r>
        <w:rPr>
          <w:rFonts w:hint="default" w:ascii="Times New Roman" w:hAnsi="Times New Roman" w:eastAsia="仿宋_GB2312" w:cs="Times New Roman"/>
          <w:color w:val="auto"/>
          <w:sz w:val="32"/>
          <w:szCs w:val="32"/>
          <w:lang w:val="en-US" w:eastAsia="zh-CN"/>
        </w:rPr>
        <w:t>59</w:t>
      </w:r>
      <w:r>
        <w:rPr>
          <w:rFonts w:hint="default" w:ascii="Times New Roman" w:hAnsi="Times New Roman" w:eastAsia="仿宋_GB2312" w:cs="Times New Roman"/>
          <w:color w:val="auto"/>
          <w:sz w:val="32"/>
          <w:szCs w:val="32"/>
        </w:rPr>
        <w:t>号储备用地，位于丰泽区山海路和规划60号路交叉口西侧，老君大道西南侧，用地面积</w:t>
      </w:r>
      <w:r>
        <w:rPr>
          <w:rFonts w:hint="default" w:ascii="Times New Roman" w:hAnsi="Times New Roman" w:eastAsia="仿宋_GB2312" w:cs="Times New Roman"/>
          <w:color w:val="auto"/>
          <w:sz w:val="32"/>
          <w:szCs w:val="32"/>
          <w:lang w:val="en-US" w:eastAsia="zh-CN"/>
        </w:rPr>
        <w:t>61946</w:t>
      </w:r>
      <w:r>
        <w:rPr>
          <w:rFonts w:hint="default" w:ascii="Times New Roman" w:hAnsi="Times New Roman" w:eastAsia="仿宋_GB2312" w:cs="Times New Roman"/>
          <w:color w:val="auto"/>
          <w:sz w:val="32"/>
          <w:szCs w:val="32"/>
        </w:rPr>
        <w:t>平方米（约合</w:t>
      </w:r>
      <w:r>
        <w:rPr>
          <w:rFonts w:hint="default" w:ascii="Times New Roman" w:hAnsi="Times New Roman" w:eastAsia="仿宋_GB2312" w:cs="Times New Roman"/>
          <w:color w:val="auto"/>
          <w:sz w:val="32"/>
          <w:szCs w:val="32"/>
          <w:lang w:val="en-US" w:eastAsia="zh-CN"/>
        </w:rPr>
        <w:t>92.92</w:t>
      </w:r>
      <w:r>
        <w:rPr>
          <w:rFonts w:hint="default" w:ascii="Times New Roman" w:hAnsi="Times New Roman" w:eastAsia="仿宋_GB2312" w:cs="Times New Roman"/>
          <w:color w:val="auto"/>
          <w:sz w:val="32"/>
          <w:szCs w:val="32"/>
        </w:rPr>
        <w:t>亩）。规划用途为</w:t>
      </w:r>
      <w:r>
        <w:rPr>
          <w:rFonts w:hint="default" w:ascii="Times New Roman" w:hAnsi="Times New Roman" w:eastAsia="仿宋" w:cs="Times New Roman"/>
          <w:color w:val="auto"/>
          <w:sz w:val="32"/>
          <w:szCs w:val="32"/>
        </w:rPr>
        <w:t>城镇住宅用地、商业用地及商务金融用地</w:t>
      </w:r>
      <w:r>
        <w:rPr>
          <w:rFonts w:hint="default" w:ascii="Times New Roman" w:hAnsi="Times New Roman" w:eastAsia="仿宋_GB2312" w:cs="Times New Roman"/>
          <w:bCs/>
          <w:color w:val="auto"/>
          <w:sz w:val="32"/>
          <w:szCs w:val="32"/>
          <w:lang w:val="zh-CN"/>
        </w:rPr>
        <w:t>。</w:t>
      </w:r>
      <w:r>
        <w:rPr>
          <w:rFonts w:hint="default" w:ascii="Times New Roman" w:hAnsi="Times New Roman" w:eastAsia="仿宋_GB2312" w:cs="Times New Roman"/>
          <w:color w:val="auto"/>
          <w:sz w:val="32"/>
          <w:szCs w:val="32"/>
        </w:rPr>
        <w:t>主要技术指标为：容积率1.3以下1.0以上，建筑密度2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%以下，绿地率30%以上，建筑高度</w:t>
      </w:r>
      <w:r>
        <w:rPr>
          <w:rFonts w:hint="default"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rPr>
        <w:t>米以下。主要建设内容为住宅、商业、办公等配套设施，其中集中布置计容建筑面积11300平方米的商业设施，计容建筑面积9800平方米的办公设施。</w:t>
      </w:r>
    </w:p>
    <w:p w14:paraId="6B1E444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lang w:val="en-US" w:eastAsia="zh-CN"/>
        </w:rPr>
      </w:pPr>
      <w:r>
        <w:rPr>
          <w:rFonts w:hint="default" w:ascii="Times New Roman" w:hAnsi="Times New Roman" w:cs="Times New Roman"/>
          <w:color w:val="auto"/>
          <w:sz w:val="32"/>
          <w:szCs w:val="32"/>
          <w:lang w:val="en-US" w:eastAsia="zh-CN"/>
        </w:rPr>
        <w:t>2.</w:t>
      </w:r>
      <w:r>
        <w:rPr>
          <w:rFonts w:hint="default" w:ascii="Times New Roman" w:hAnsi="Times New Roman" w:eastAsia="楷体_GB2312" w:cs="Times New Roman"/>
          <w:b/>
          <w:color w:val="auto"/>
          <w:sz w:val="32"/>
          <w:szCs w:val="32"/>
        </w:rPr>
        <w:t>丰202</w:t>
      </w:r>
      <w:r>
        <w:rPr>
          <w:rFonts w:hint="default" w:ascii="Times New Roman" w:hAnsi="Times New Roman" w:eastAsia="楷体_GB2312" w:cs="Times New Roman"/>
          <w:b/>
          <w:color w:val="auto"/>
          <w:sz w:val="32"/>
          <w:szCs w:val="32"/>
          <w:lang w:val="en-US" w:eastAsia="zh-CN"/>
        </w:rPr>
        <w:t>5-25</w:t>
      </w:r>
      <w:r>
        <w:rPr>
          <w:rFonts w:hint="default" w:ascii="Times New Roman" w:hAnsi="Times New Roman" w:eastAsia="楷体_GB2312" w:cs="Times New Roman"/>
          <w:b/>
          <w:color w:val="auto"/>
          <w:sz w:val="32"/>
          <w:szCs w:val="32"/>
        </w:rPr>
        <w:t>号地块。</w:t>
      </w:r>
      <w:r>
        <w:rPr>
          <w:rFonts w:hint="default" w:ascii="Times New Roman" w:hAnsi="Times New Roman" w:eastAsia="仿宋_GB2312" w:cs="Times New Roman"/>
          <w:color w:val="auto"/>
          <w:sz w:val="32"/>
          <w:szCs w:val="32"/>
        </w:rPr>
        <w:t>该宗地即</w:t>
      </w:r>
      <w:r>
        <w:rPr>
          <w:rFonts w:hint="default" w:ascii="Times New Roman" w:hAnsi="Times New Roman" w:eastAsia="仿宋_GB2312" w:cs="Times New Roman"/>
          <w:color w:val="auto"/>
          <w:sz w:val="32"/>
          <w:szCs w:val="32"/>
          <w:lang w:val="en-US" w:eastAsia="zh-CN"/>
        </w:rPr>
        <w:t>2018-9号</w:t>
      </w:r>
      <w:r>
        <w:rPr>
          <w:rFonts w:hint="default" w:ascii="Times New Roman" w:hAnsi="Times New Roman" w:eastAsia="仿宋_GB2312" w:cs="Times New Roman"/>
          <w:color w:val="auto"/>
          <w:sz w:val="32"/>
          <w:szCs w:val="32"/>
        </w:rPr>
        <w:t>储备用地，位于</w:t>
      </w:r>
      <w:r>
        <w:rPr>
          <w:rFonts w:hint="default" w:ascii="Times New Roman" w:hAnsi="Times New Roman" w:eastAsia="仿宋_GB2312" w:cs="Times New Roman"/>
          <w:color w:val="auto"/>
          <w:sz w:val="32"/>
          <w:szCs w:val="32"/>
          <w:lang w:eastAsia="zh-CN"/>
        </w:rPr>
        <w:t>丰泽区城东街道和洛江区万安街道交界处，用</w:t>
      </w:r>
      <w:r>
        <w:rPr>
          <w:rFonts w:hint="default" w:ascii="Times New Roman" w:hAnsi="Times New Roman" w:eastAsia="仿宋_GB2312" w:cs="Times New Roman"/>
          <w:color w:val="auto"/>
          <w:sz w:val="32"/>
          <w:szCs w:val="32"/>
        </w:rPr>
        <w:t>地面积</w:t>
      </w:r>
      <w:r>
        <w:rPr>
          <w:rFonts w:hint="default" w:ascii="Times New Roman" w:hAnsi="Times New Roman" w:eastAsia="仿宋_GB2312" w:cs="Times New Roman"/>
          <w:color w:val="auto"/>
          <w:sz w:val="32"/>
          <w:szCs w:val="32"/>
          <w:lang w:val="en-US" w:eastAsia="zh-CN"/>
        </w:rPr>
        <w:t>50552</w:t>
      </w:r>
      <w:r>
        <w:rPr>
          <w:rFonts w:hint="default" w:ascii="Times New Roman" w:hAnsi="Times New Roman" w:eastAsia="仿宋_GB2312" w:cs="Times New Roman"/>
          <w:bCs/>
          <w:color w:val="auto"/>
          <w:sz w:val="32"/>
          <w:szCs w:val="32"/>
          <w:lang w:val="zh-CN"/>
        </w:rPr>
        <w:t>平方米（约合</w:t>
      </w:r>
      <w:r>
        <w:rPr>
          <w:rFonts w:hint="default" w:ascii="Times New Roman" w:hAnsi="Times New Roman" w:eastAsia="仿宋_GB2312" w:cs="Times New Roman"/>
          <w:bCs/>
          <w:color w:val="auto"/>
          <w:sz w:val="32"/>
          <w:szCs w:val="32"/>
          <w:lang w:val="en-US" w:eastAsia="zh-CN"/>
        </w:rPr>
        <w:t>75.82</w:t>
      </w:r>
      <w:r>
        <w:rPr>
          <w:rFonts w:hint="default" w:ascii="Times New Roman" w:hAnsi="Times New Roman" w:eastAsia="仿宋_GB2312" w:cs="Times New Roman"/>
          <w:bCs/>
          <w:color w:val="auto"/>
          <w:sz w:val="32"/>
          <w:szCs w:val="32"/>
          <w:lang w:val="zh-CN"/>
        </w:rPr>
        <w:t>亩）。</w:t>
      </w:r>
      <w:r>
        <w:rPr>
          <w:rFonts w:hint="default" w:ascii="Times New Roman" w:hAnsi="Times New Roman" w:eastAsia="仿宋_GB2312" w:cs="Times New Roman"/>
          <w:color w:val="auto"/>
          <w:sz w:val="32"/>
          <w:szCs w:val="32"/>
        </w:rPr>
        <w:t>规划用途为</w:t>
      </w:r>
      <w:r>
        <w:rPr>
          <w:rFonts w:hint="default" w:ascii="Times New Roman" w:hAnsi="Times New Roman" w:eastAsia="仿宋_GB2312" w:cs="Times New Roman"/>
          <w:color w:val="auto"/>
          <w:sz w:val="32"/>
          <w:szCs w:val="32"/>
          <w:lang w:eastAsia="zh-CN"/>
        </w:rPr>
        <w:t>二类</w:t>
      </w:r>
      <w:r>
        <w:rPr>
          <w:rFonts w:hint="default" w:ascii="Times New Roman" w:hAnsi="Times New Roman" w:eastAsia="仿宋" w:cs="Times New Roman"/>
          <w:color w:val="auto"/>
          <w:sz w:val="32"/>
          <w:szCs w:val="32"/>
        </w:rPr>
        <w:t>城镇住宅用地</w:t>
      </w:r>
      <w:r>
        <w:rPr>
          <w:rFonts w:hint="default" w:ascii="Times New Roman" w:hAnsi="Times New Roman" w:eastAsia="仿宋" w:cs="Times New Roman"/>
          <w:color w:val="auto"/>
          <w:sz w:val="32"/>
          <w:szCs w:val="32"/>
          <w:lang w:eastAsia="zh-CN"/>
        </w:rPr>
        <w:t>、商业用地</w:t>
      </w:r>
      <w:r>
        <w:rPr>
          <w:rFonts w:hint="default" w:ascii="Times New Roman" w:hAnsi="Times New Roman" w:eastAsia="仿宋_GB2312" w:cs="Times New Roman"/>
          <w:bCs/>
          <w:color w:val="auto"/>
          <w:sz w:val="32"/>
          <w:szCs w:val="32"/>
          <w:lang w:val="zh-CN"/>
        </w:rPr>
        <w:t>。</w:t>
      </w:r>
      <w:r>
        <w:rPr>
          <w:rFonts w:hint="default" w:ascii="Times New Roman" w:hAnsi="Times New Roman" w:eastAsia="仿宋_GB2312" w:cs="Times New Roman"/>
          <w:color w:val="auto"/>
          <w:sz w:val="32"/>
          <w:szCs w:val="32"/>
        </w:rPr>
        <w:t>主要技术指标为：容积率</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以下</w:t>
      </w:r>
      <w:r>
        <w:rPr>
          <w:rFonts w:hint="eastAsia" w:ascii="Times New Roman" w:cs="Times New Roman"/>
          <w:color w:val="auto"/>
          <w:sz w:val="32"/>
          <w:szCs w:val="32"/>
          <w:lang w:val="en-US" w:eastAsia="zh-CN"/>
        </w:rPr>
        <w:t>1.0以上</w:t>
      </w:r>
      <w:r>
        <w:rPr>
          <w:rFonts w:hint="default" w:ascii="Times New Roman" w:hAnsi="Times New Roman" w:eastAsia="仿宋_GB2312" w:cs="Times New Roman"/>
          <w:color w:val="auto"/>
          <w:sz w:val="32"/>
          <w:szCs w:val="32"/>
        </w:rPr>
        <w:t>，建筑密度</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%以下，绿地率</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%以上，建筑高度</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米以下。</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建设内容为</w:t>
      </w:r>
      <w:r>
        <w:rPr>
          <w:rFonts w:hint="default" w:ascii="Times New Roman" w:hAnsi="Times New Roman" w:eastAsia="仿宋_GB2312" w:cs="Times New Roman"/>
          <w:color w:val="auto"/>
          <w:sz w:val="32"/>
          <w:szCs w:val="32"/>
          <w:lang w:eastAsia="zh-CN"/>
        </w:rPr>
        <w:t>住宅及商业配套设施，其中商业设施的计容建筑面积为</w:t>
      </w:r>
      <w:r>
        <w:rPr>
          <w:rFonts w:hint="default" w:ascii="Times New Roman" w:hAnsi="Times New Roman" w:eastAsia="仿宋_GB2312" w:cs="Times New Roman"/>
          <w:color w:val="auto"/>
          <w:sz w:val="32"/>
          <w:szCs w:val="32"/>
          <w:lang w:val="en-US" w:eastAsia="zh-CN"/>
        </w:rPr>
        <w:t>3000平方米。</w:t>
      </w:r>
    </w:p>
    <w:p w14:paraId="2D2236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（二）规划指标和相关要求</w:t>
      </w:r>
    </w:p>
    <w:p w14:paraId="787F3818">
      <w:pPr>
        <w:keepNext w:val="0"/>
        <w:keepLines w:val="0"/>
        <w:pageBreakBefore w:val="0"/>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上述</w:t>
      </w:r>
      <w:r>
        <w:rPr>
          <w:rFonts w:hint="default" w:ascii="Times New Roman" w:hAnsi="Times New Roman" w:eastAsia="仿宋_GB2312" w:cs="Times New Roman"/>
          <w:color w:val="auto"/>
          <w:sz w:val="32"/>
          <w:szCs w:val="32"/>
        </w:rPr>
        <w:t>地块竞买申请人须具有房地产开发资质。</w:t>
      </w:r>
    </w:p>
    <w:p w14:paraId="575E740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2.丰2025-9号地块竞得人须按有关规范要求配套建设相应的公共配套服务设施，包括：社区管理服务用房、医疗服务站、居家养老服务站等设施</w:t>
      </w:r>
      <w:r>
        <w:rPr>
          <w:rFonts w:hint="default" w:ascii="Times New Roman" w:hAnsi="Times New Roman" w:eastAsia="仿宋_GB2312" w:cs="Times New Roman"/>
          <w:color w:val="auto"/>
          <w:sz w:val="32"/>
          <w:szCs w:val="32"/>
        </w:rPr>
        <w:t>[具体规划要求详见《泉州市自然资源和规划局关于下达</w:t>
      </w:r>
      <w:r>
        <w:rPr>
          <w:rFonts w:hint="default" w:ascii="Times New Roman" w:hAnsi="Times New Roman" w:eastAsia="仿宋_GB2312" w:cs="Times New Roman"/>
          <w:color w:val="auto"/>
          <w:sz w:val="32"/>
          <w:szCs w:val="32"/>
          <w:lang w:val="en-US" w:eastAsia="zh-CN"/>
        </w:rPr>
        <w:t>2023-59</w:t>
      </w:r>
      <w:r>
        <w:rPr>
          <w:rFonts w:hint="default" w:ascii="Times New Roman" w:hAnsi="Times New Roman" w:eastAsia="仿宋_GB2312" w:cs="Times New Roman"/>
          <w:color w:val="auto"/>
          <w:sz w:val="32"/>
          <w:szCs w:val="32"/>
        </w:rPr>
        <w:t>号储备用地规划条件的通知》（泉资规〔202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216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b w:val="0"/>
          <w:bCs w:val="0"/>
          <w:color w:val="auto"/>
          <w:sz w:val="32"/>
          <w:szCs w:val="32"/>
          <w:lang w:val="en-US" w:eastAsia="zh-CN"/>
        </w:rPr>
        <w:t>，且上述公共配套服务设施应相对集中布置在交通便利、方便群众使用的地方，与项目主体建筑同时设计、同时建设，否则住建部门不予核发预售证，建成后无偿将产权、使用权移交给政府指定的有权机构。</w:t>
      </w:r>
    </w:p>
    <w:p w14:paraId="411C52F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3.丰2025-25号地块竞得人须按有关规范要求配套建设相应的公共配套服务设施，包括：幼儿园、社区管理服务用房、社区医疗服务站、居家养老服务站等设施</w:t>
      </w:r>
      <w:r>
        <w:rPr>
          <w:rFonts w:hint="default" w:ascii="Times New Roman" w:hAnsi="Times New Roman" w:eastAsia="仿宋_GB2312" w:cs="Times New Roman"/>
          <w:color w:val="auto"/>
          <w:sz w:val="32"/>
          <w:szCs w:val="32"/>
        </w:rPr>
        <w:t>[具体规划要求详见《泉州市自然资源和规划局关于下达</w:t>
      </w:r>
      <w:r>
        <w:rPr>
          <w:rFonts w:hint="default" w:ascii="Times New Roman" w:hAnsi="Times New Roman" w:eastAsia="仿宋_GB2312" w:cs="Times New Roman"/>
          <w:color w:val="auto"/>
          <w:sz w:val="32"/>
          <w:szCs w:val="32"/>
          <w:lang w:val="en-US" w:eastAsia="zh-CN"/>
        </w:rPr>
        <w:t>2018-9</w:t>
      </w:r>
      <w:r>
        <w:rPr>
          <w:rFonts w:hint="default" w:ascii="Times New Roman" w:hAnsi="Times New Roman" w:eastAsia="仿宋_GB2312" w:cs="Times New Roman"/>
          <w:color w:val="auto"/>
          <w:sz w:val="32"/>
          <w:szCs w:val="32"/>
        </w:rPr>
        <w:t>号储备用地规划条件的通知》（泉资规〔202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189</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b w:val="0"/>
          <w:bCs w:val="0"/>
          <w:color w:val="auto"/>
          <w:sz w:val="32"/>
          <w:szCs w:val="32"/>
          <w:lang w:val="en-US" w:eastAsia="zh-CN"/>
        </w:rPr>
        <w:t>，且上述公共配套服务设施应相对集中布置在交通便利、方便群众使用的地方，与项目主体建筑同时设计、同时建设，否则住建部门不予核发预售证，建成后无偿将产权、使用权移交给政府指定的有权机构。</w:t>
      </w:r>
    </w:p>
    <w:p w14:paraId="11F6B4CD">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4.丰2025-9号地块不设住宅最高销售限价，由竞得企业根据市场情况自主定价，该项目商品房上市销售时，应执行国家及地方房地产有关政策，接受相关主管部门的指导和监督。</w:t>
      </w:r>
    </w:p>
    <w:p w14:paraId="484F673C">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5.丰2025-9号地块商业建筑、办公建筑为可分割且最小分割面积不小于300平方米。</w:t>
      </w:r>
    </w:p>
    <w:p w14:paraId="066C0008">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丰2025-25号地块竞得人应在与我局签订《国有建设用地使用权出让合同》之日起5个工作日内，与泉州市城建国有资产投资有限公司签订该地块定向定价商品房履约协议。定向定价商品房住宅由泉州市城建国有资产投资有限公司全部代购，其中约78360平方米定向定价商品房代购单价为8346元/平方米，约48415平方米定向定价商品房代购</w:t>
      </w:r>
      <w:r>
        <w:rPr>
          <w:rFonts w:hint="eastAsia" w:ascii="Times New Roman" w:cs="Times New Roman"/>
          <w:color w:val="auto"/>
          <w:sz w:val="32"/>
          <w:szCs w:val="32"/>
          <w:lang w:val="en-US" w:eastAsia="zh-CN"/>
        </w:rPr>
        <w:t>单</w:t>
      </w:r>
      <w:r>
        <w:rPr>
          <w:rFonts w:hint="default" w:ascii="Times New Roman" w:hAnsi="Times New Roman" w:eastAsia="仿宋_GB2312" w:cs="Times New Roman"/>
          <w:color w:val="auto"/>
          <w:sz w:val="32"/>
          <w:szCs w:val="32"/>
          <w:lang w:val="en-US" w:eastAsia="zh-CN"/>
        </w:rPr>
        <w:t xml:space="preserve">价为6201元/平方米，具体面积安排详见定向定价商品房履约协议。地下室停车位代购单价为12万元/个，代购车位不少于400个非人防标准车位（代购车位位置应由代购单位优先进行选择），其余剩余车位需待完成全部安置后方可对外销售。代购商业建筑面积约3000平方米，代购单价为10000元/平方米，可分割安置、销售，且最小分割面积不小于300平方米。该宗地代购的住宅建筑、商业建筑须按《金凤屿片区（万安）地块三建筑方案设计》进行设计，最终以有权单位审定的方案为准。  </w:t>
      </w:r>
    </w:p>
    <w:p w14:paraId="6FDF95E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丰2025-9号地块东南侧约300米已规划在建泉州市第九中学城东校区，东南侧约400米已建设泉州市丰泽区东星实验小学。关于学区划分事宜，需待当年度片区摸底生源数，并结合新建学校投用情况后确定，具体以当年度丰泽区的招生政策为准。</w:t>
      </w:r>
    </w:p>
    <w:p w14:paraId="1CADF7E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8.丰2025-25号地块配建幼儿园装修标准按室内不低于1600元/平方米、室外不低于1100元/平方米标准进行建设，且具体装修方案应与丰泽区教育局协商一致，经验收合格后再移交丰泽区教育局。</w:t>
      </w:r>
    </w:p>
    <w:p w14:paraId="17913A65">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lang w:val="en-US" w:eastAsia="zh-CN" w:bidi="ar-SA"/>
        </w:rPr>
        <w:t>丰2025-9号地块的可销售房源应全部按程序办理预（现）售手续并向社会销售。严禁采取“以房抵债”、股东或特定群体垄断房源、办理自有产权等方式逃避销售，否则住建部门不予办理合同网签备案，产权登记部门不予办理产权。</w:t>
      </w:r>
    </w:p>
    <w:p w14:paraId="14B2439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上述</w:t>
      </w:r>
      <w:r>
        <w:rPr>
          <w:rFonts w:hint="default" w:ascii="Times New Roman" w:hAnsi="Times New Roman" w:eastAsia="仿宋_GB2312" w:cs="Times New Roman"/>
          <w:color w:val="auto"/>
          <w:sz w:val="32"/>
          <w:szCs w:val="32"/>
        </w:rPr>
        <w:t>地块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14:paraId="35D0A240">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按照《泉州市人民政府办公室关于印发泉州市2023年促进房地产市场平稳健康发展工作方案的通知》（泉政办〔2023〕11号）要求，上述地块充电桩车位配建比例不低于50%。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根据《泉州市人民政府办公室关于印发泉州市电动自行车安全隐患全链条整治行动实施方案的通知》（泉政办〔2024〕17号）要求，严格新建居住项目规划审批管理，将电动自行车停放充电设施纳入项目配套。</w:t>
      </w:r>
    </w:p>
    <w:p w14:paraId="10EB632D">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.按照《泉州市住房和城乡建设局等三部门关于加快推动新型建筑工业化发展的通知》（泉建规〔2022〕3号）要求，上述地块的装配式建筑应占新建建筑面积40%以上。</w:t>
      </w:r>
    </w:p>
    <w:p w14:paraId="33962E48">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.按照《泉州市人民政府关于印发泉州市促进房地产市场持续健康稳定发展若干意见（2018—2025年）的通知》（泉政文〔2018〕87号）要求，上述地块的建筑单体质量要求达到泉州市优质工程及以上。</w:t>
      </w:r>
    </w:p>
    <w:p w14:paraId="662DAFA9">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w:t>
      </w:r>
    </w:p>
    <w:p w14:paraId="6B1DBB70">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p>
    <w:p w14:paraId="63547C40">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五、竞买人资格</w:t>
      </w:r>
    </w:p>
    <w:p w14:paraId="4ED0C2C9">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14:paraId="16167D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交纳竞买保证金的截止时间为202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20</w:t>
      </w:r>
      <w:r>
        <w:rPr>
          <w:rFonts w:hint="default" w:ascii="Times New Roman" w:hAnsi="Times New Roman" w:eastAsia="仿宋_GB2312" w:cs="Times New Roman"/>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14:paraId="345B42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w:t>
      </w:r>
      <w:r>
        <w:rPr>
          <w:rFonts w:hint="eastAsia" w:ascii="Times New Roman" w:cs="Times New Roman"/>
          <w:color w:val="auto"/>
          <w:szCs w:val="32"/>
          <w:lang w:val="en-US" w:eastAsia="zh-CN"/>
        </w:rPr>
        <w:t>5</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9</w:t>
      </w:r>
      <w:r>
        <w:rPr>
          <w:rFonts w:hint="default" w:ascii="Times New Roman" w:hAnsi="Times New Roman" w:cs="Times New Roman"/>
          <w:color w:val="auto"/>
          <w:szCs w:val="32"/>
          <w:lang w:val="en-US" w:eastAsia="zh-CN"/>
        </w:rPr>
        <w:t>号</w:t>
      </w:r>
      <w:r>
        <w:rPr>
          <w:rFonts w:hint="default" w:ascii="Times New Roman" w:hAnsi="Times New Roman" w:eastAsia="仿宋_GB2312" w:cs="Times New Roman"/>
          <w:color w:val="auto"/>
          <w:szCs w:val="32"/>
        </w:rPr>
        <w:t>地块的竞买保证金为人民币（大写）</w:t>
      </w:r>
      <w:r>
        <w:rPr>
          <w:rFonts w:hint="eastAsia" w:ascii="Times New Roman" w:cs="Times New Roman"/>
          <w:color w:val="auto"/>
          <w:szCs w:val="32"/>
          <w:lang w:eastAsia="zh-CN"/>
        </w:rPr>
        <w:t>壹亿伍仟万元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150</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14:paraId="05187E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lang w:eastAsia="zh-CN"/>
        </w:rPr>
      </w:pPr>
      <w:r>
        <w:rPr>
          <w:rFonts w:hint="default" w:ascii="Times New Roman" w:hAnsi="Times New Roman" w:cs="Times New Roman"/>
          <w:color w:val="auto"/>
          <w:szCs w:val="32"/>
          <w:lang w:val="en-US" w:eastAsia="zh-CN"/>
        </w:rPr>
        <w:t>丰202</w:t>
      </w:r>
      <w:r>
        <w:rPr>
          <w:rFonts w:hint="eastAsia" w:ascii="Times New Roman" w:cs="Times New Roman"/>
          <w:color w:val="auto"/>
          <w:szCs w:val="32"/>
          <w:lang w:val="en-US" w:eastAsia="zh-CN"/>
        </w:rPr>
        <w:t>5</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25</w:t>
      </w:r>
      <w:r>
        <w:rPr>
          <w:rFonts w:hint="default" w:ascii="Times New Roman" w:hAnsi="Times New Roman" w:cs="Times New Roman"/>
          <w:color w:val="auto"/>
          <w:szCs w:val="32"/>
          <w:lang w:val="en-US" w:eastAsia="zh-CN"/>
        </w:rPr>
        <w:t>号</w:t>
      </w:r>
      <w:r>
        <w:rPr>
          <w:rFonts w:hint="default" w:ascii="Times New Roman" w:hAnsi="Times New Roman" w:eastAsia="仿宋_GB2312" w:cs="Times New Roman"/>
          <w:color w:val="auto"/>
          <w:szCs w:val="32"/>
        </w:rPr>
        <w:t>地块的竞买保证金为人民币（大写）</w:t>
      </w:r>
      <w:r>
        <w:rPr>
          <w:rFonts w:hint="eastAsia" w:ascii="Times New Roman" w:cs="Times New Roman"/>
          <w:color w:val="auto"/>
          <w:szCs w:val="32"/>
          <w:lang w:eastAsia="zh-CN"/>
        </w:rPr>
        <w:t>捌仟肆佰万元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84</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14:paraId="54A32D9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六、申请和资格审查</w:t>
      </w:r>
    </w:p>
    <w:p w14:paraId="5833022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（一）拍卖出让文件索取</w:t>
      </w:r>
    </w:p>
    <w:p w14:paraId="2975D2C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竞买人可于202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日至202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20</w:t>
      </w:r>
      <w:r>
        <w:rPr>
          <w:rFonts w:hint="default" w:ascii="Times New Roman" w:hAnsi="Times New Roman" w:eastAsia="仿宋_GB2312" w:cs="Times New Roman"/>
          <w:color w:val="auto"/>
          <w:szCs w:val="32"/>
        </w:rPr>
        <w:t>日</w:t>
      </w:r>
      <w:r>
        <w:rPr>
          <w:rFonts w:hint="eastAsia" w:ascii="Times New Roman" w:cs="Times New Roman"/>
          <w:color w:val="auto"/>
          <w:szCs w:val="32"/>
          <w:lang w:eastAsia="zh-CN"/>
        </w:rPr>
        <w:t>（工作日）</w:t>
      </w:r>
      <w:r>
        <w:rPr>
          <w:rFonts w:hint="default" w:ascii="Times New Roman" w:hAnsi="Times New Roman" w:eastAsia="仿宋_GB2312" w:cs="Times New Roman"/>
          <w:color w:val="auto"/>
          <w:szCs w:val="32"/>
        </w:rPr>
        <w:t>，到泉州市丰泽区海星街100号东海大厦A幢市政务服务中心4楼450室购买索取本次拍卖出让文件，具体包括：</w:t>
      </w:r>
    </w:p>
    <w:p w14:paraId="032E0F4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1.泉州市自然资源和规划局关于丰2025-9号、丰2025-25号地块国有建设用地使用权出让公告(泉自然资告字[2025]14号)</w:t>
      </w:r>
    </w:p>
    <w:p w14:paraId="56CAA8C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2.丰2025-9号、丰2025-25号地块国有建设用地使用权拍卖出让须知</w:t>
      </w:r>
    </w:p>
    <w:p w14:paraId="4D7BBCA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3.泉州市自然资源和规划局规划设计条件文件（复印件）</w:t>
      </w:r>
    </w:p>
    <w:p w14:paraId="638F1A7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4.竞买申请书</w:t>
      </w:r>
    </w:p>
    <w:p w14:paraId="6771B1D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5.竞买承诺书</w:t>
      </w:r>
    </w:p>
    <w:p w14:paraId="13D4FDD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6.法定代表人身份证明书</w:t>
      </w:r>
    </w:p>
    <w:p w14:paraId="1AA11E5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7.授权委托书</w:t>
      </w:r>
    </w:p>
    <w:p w14:paraId="653A05F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8.竞买资格确认书（样本）</w:t>
      </w:r>
    </w:p>
    <w:p w14:paraId="4EB7FCD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9.成交确认书（样本）</w:t>
      </w:r>
    </w:p>
    <w:p w14:paraId="0B44A1D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10.地块宗地图（复印件）</w:t>
      </w:r>
    </w:p>
    <w:p w14:paraId="00026DF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11.泉州市自然资源和规划局用地红线图（复印件）</w:t>
      </w:r>
    </w:p>
    <w:p w14:paraId="262B4AF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12.《住宅用地竞买保证金、成交价款来源情况申报表》</w:t>
      </w:r>
    </w:p>
    <w:p w14:paraId="28020A8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13.《2018-9号储备用地定向定价商品房履约协议》</w:t>
      </w:r>
    </w:p>
    <w:p w14:paraId="755F656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14.《金凤屿片区（万安）地块三建筑方案设计》</w:t>
      </w:r>
    </w:p>
    <w:p w14:paraId="6D99F43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（二）提交申请</w:t>
      </w:r>
    </w:p>
    <w:p w14:paraId="586F46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竞买人应于202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20</w:t>
      </w:r>
      <w:r>
        <w:rPr>
          <w:rFonts w:hint="default" w:ascii="Times New Roman" w:hAnsi="Times New Roman" w:eastAsia="仿宋_GB2312" w:cs="Times New Roman"/>
          <w:color w:val="auto"/>
          <w:szCs w:val="32"/>
        </w:rPr>
        <w:t>日17时前，到泉州市丰泽区海星街100号东海大厦A幢市政务服务中心4楼450室提交书面申请（不接受邮寄、电子邮件及口头竞买报名），</w:t>
      </w:r>
      <w:r>
        <w:rPr>
          <w:rFonts w:hint="default" w:ascii="Times New Roman" w:hAnsi="Times New Roman" w:eastAsia="仿宋_GB2312" w:cs="Times New Roman"/>
          <w:b/>
          <w:color w:val="auto"/>
          <w:szCs w:val="32"/>
        </w:rPr>
        <w:t>所有申请文件必须为正本一式二份。</w:t>
      </w:r>
      <w:r>
        <w:rPr>
          <w:rFonts w:hint="default" w:ascii="Times New Roman" w:hAnsi="Times New Roman" w:eastAsia="仿宋_GB2312" w:cs="Times New Roman"/>
          <w:color w:val="auto"/>
          <w:szCs w:val="32"/>
        </w:rPr>
        <w:t>申请文件包括：</w:t>
      </w:r>
    </w:p>
    <w:p w14:paraId="65E431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1．法人申请的，应提交下列文件：</w:t>
      </w:r>
    </w:p>
    <w:p w14:paraId="232A77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664744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37CE35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p>
    <w:p w14:paraId="088E09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（4）法人单位有效证明文件；</w:t>
      </w:r>
    </w:p>
    <w:p w14:paraId="620DD6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（5）法定代表人身份证明书；</w:t>
      </w:r>
    </w:p>
    <w:p w14:paraId="34497AE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（6）竞买人委托他人办理的，应提交授权委托书及委托代理人的有效身份证明文件；</w:t>
      </w:r>
    </w:p>
    <w:p w14:paraId="5024F95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14:paraId="700EF5B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14:paraId="0BD67F4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2．其他组织申请的，应提交下列文件：</w:t>
      </w:r>
    </w:p>
    <w:p w14:paraId="376FA32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1C07678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16A94BA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p>
    <w:p w14:paraId="0CC1F91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（4）表明该组织合法存在的文件或有效证明；</w:t>
      </w:r>
    </w:p>
    <w:p w14:paraId="3065ED3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（5）表明该组织负责人身份的有效证明文件；</w:t>
      </w:r>
    </w:p>
    <w:p w14:paraId="7135238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（6）申请人委托他人办理的，应提交授权委托书及委托代理人的身份证明文件；</w:t>
      </w:r>
    </w:p>
    <w:p w14:paraId="49CC7D0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14:paraId="739892E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14:paraId="513CBA0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3．境外申请人申请的，应提交下列文件：</w:t>
      </w:r>
    </w:p>
    <w:p w14:paraId="6938900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14:paraId="5EC14BC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14:paraId="5470FE7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p>
    <w:p w14:paraId="05FA2D3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（4）境外法人、自然人、其他组织的有效身份证明文件；</w:t>
      </w:r>
    </w:p>
    <w:p w14:paraId="6A6CB66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（5）申请人委托他人办理的，应提交经公证的授权委托书及委托代理人的有效身份证明文件；</w:t>
      </w:r>
    </w:p>
    <w:p w14:paraId="68D84B5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（6）竞买保证金交纳凭证；</w:t>
      </w:r>
    </w:p>
    <w:p w14:paraId="5462D3F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（7）拍卖文件规定需要提交的其他文件。</w:t>
      </w:r>
    </w:p>
    <w:p w14:paraId="4E143CE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上述文件中，申请书必须用中文书写，其他文件可以使用其他语言，但必须附中文译本，所有文件的解释以中文译本为准。</w:t>
      </w:r>
    </w:p>
    <w:p w14:paraId="1801835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（三）资格审查</w:t>
      </w:r>
    </w:p>
    <w:p w14:paraId="651C696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14:paraId="6A32D30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经审查，有下列情形之一的，为无效申请：</w:t>
      </w:r>
    </w:p>
    <w:p w14:paraId="2E441B3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1.竞买人不具备竞买资格的；</w:t>
      </w:r>
    </w:p>
    <w:p w14:paraId="100DB5F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2.未按规定交纳竞买保证金的；</w:t>
      </w:r>
    </w:p>
    <w:p w14:paraId="22144FD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3.申请文件不齐全或不符合规定的；</w:t>
      </w:r>
    </w:p>
    <w:p w14:paraId="18E0AB2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4.委托他人代理，委托文件不齐全或不符合规定的；</w:t>
      </w:r>
    </w:p>
    <w:p w14:paraId="260CE78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5.竞买人违反《竞买承诺书》中约定的；</w:t>
      </w:r>
    </w:p>
    <w:p w14:paraId="22DD238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6.法律法规规定的其他情形。</w:t>
      </w:r>
    </w:p>
    <w:p w14:paraId="5E367DA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（四）确认竞买人资格</w:t>
      </w:r>
    </w:p>
    <w:p w14:paraId="4086D95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经审查，竞买人按规定交纳竞买保证金、具备申请条件的，泉州市产权交易中心有限公司将在报名结束后确认其竞买资格，发给《竞买资格确认书》。</w:t>
      </w:r>
    </w:p>
    <w:p w14:paraId="0BF274F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（五）答疑及现场踏勘</w:t>
      </w:r>
    </w:p>
    <w:p w14:paraId="6B6AF2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竞买人对拍卖出让文件有疑问的，可以在拍卖会开始前以书面或者口头方式向我局咨询。我局于202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日至202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11</w:t>
      </w:r>
      <w:r>
        <w:rPr>
          <w:rFonts w:hint="default" w:ascii="Times New Roman" w:hAnsi="Times New Roman" w:eastAsia="仿宋_GB2312" w:cs="Times New Roman"/>
          <w:color w:val="auto"/>
          <w:szCs w:val="32"/>
        </w:rPr>
        <w:t>日组织竞买人对拟出让地块进行现场踏勘。需由我局派员陪同实地踏勘的，请提前与我局联系（联系电话：0595－22769</w:t>
      </w:r>
      <w:r>
        <w:rPr>
          <w:rFonts w:hint="default" w:ascii="Times New Roman" w:hAnsi="Times New Roman" w:eastAsia="仿宋_GB2312" w:cs="Times New Roman"/>
          <w:color w:val="auto"/>
          <w:szCs w:val="32"/>
          <w:lang w:val="en-US" w:eastAsia="zh-CN"/>
        </w:rPr>
        <w:t>01</w:t>
      </w:r>
      <w:r>
        <w:rPr>
          <w:rFonts w:hint="default" w:ascii="Times New Roman" w:hAnsi="Times New Roman" w:eastAsia="仿宋_GB2312" w:cs="Times New Roman"/>
          <w:color w:val="auto"/>
          <w:szCs w:val="32"/>
        </w:rPr>
        <w:t>2）。</w:t>
      </w:r>
    </w:p>
    <w:p w14:paraId="0872C3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七、宗地的拍卖起叫价和增价幅度</w:t>
      </w:r>
    </w:p>
    <w:p w14:paraId="48322DC8">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w:t>
      </w:r>
      <w:r>
        <w:rPr>
          <w:rFonts w:hint="eastAsia" w:ascii="Times New Roman" w:cs="Times New Roman"/>
          <w:color w:val="auto"/>
          <w:szCs w:val="32"/>
          <w:lang w:val="en-US" w:eastAsia="zh-CN"/>
        </w:rPr>
        <w:t>5</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9</w:t>
      </w:r>
      <w:r>
        <w:rPr>
          <w:rFonts w:hint="default" w:ascii="Times New Roman" w:hAnsi="Times New Roman" w:eastAsia="仿宋_GB2312" w:cs="Times New Roman"/>
          <w:color w:val="auto"/>
          <w:szCs w:val="32"/>
        </w:rPr>
        <w:t>号地块，起叫价为人民币（大写）</w:t>
      </w:r>
      <w:r>
        <w:rPr>
          <w:rFonts w:hint="eastAsia" w:ascii="Times New Roman" w:cs="Times New Roman"/>
          <w:color w:val="auto"/>
          <w:szCs w:val="32"/>
          <w:lang w:eastAsia="zh-CN"/>
        </w:rPr>
        <w:t>柒亿肆仟肆佰万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744</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eastAsia" w:ascii="Times New Roman" w:cs="Times New Roman"/>
          <w:color w:val="auto"/>
          <w:szCs w:val="32"/>
          <w:lang w:eastAsia="zh-CN"/>
        </w:rPr>
        <w:t>叁佰万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Cs w:val="32"/>
        </w:rPr>
        <w:t>000.00）或</w:t>
      </w:r>
      <w:r>
        <w:rPr>
          <w:rFonts w:hint="eastAsia" w:ascii="Times New Roman" w:cs="Times New Roman"/>
          <w:color w:val="auto"/>
          <w:szCs w:val="32"/>
          <w:lang w:val="en-US" w:eastAsia="zh-CN"/>
        </w:rPr>
        <w:t>300</w:t>
      </w:r>
      <w:r>
        <w:rPr>
          <w:rFonts w:hint="default" w:ascii="Times New Roman" w:hAnsi="Times New Roman" w:eastAsia="仿宋_GB2312" w:cs="Times New Roman"/>
          <w:color w:val="auto"/>
          <w:szCs w:val="32"/>
        </w:rPr>
        <w:t>万元整数倍金额</w:t>
      </w:r>
      <w:r>
        <w:rPr>
          <w:rFonts w:hint="default" w:ascii="Times New Roman" w:hAnsi="Times New Roman" w:cs="Times New Roman"/>
          <w:color w:val="auto"/>
          <w:szCs w:val="32"/>
          <w:lang w:eastAsia="zh-CN"/>
        </w:rPr>
        <w:t>。</w:t>
      </w:r>
    </w:p>
    <w:p w14:paraId="6A617A74">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w:t>
      </w:r>
      <w:r>
        <w:rPr>
          <w:rFonts w:hint="eastAsia" w:ascii="Times New Roman" w:cs="Times New Roman"/>
          <w:color w:val="auto"/>
          <w:szCs w:val="32"/>
          <w:lang w:val="en-US" w:eastAsia="zh-CN"/>
        </w:rPr>
        <w:t>5</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25</w:t>
      </w:r>
      <w:r>
        <w:rPr>
          <w:rFonts w:hint="default" w:ascii="Times New Roman" w:hAnsi="Times New Roman" w:eastAsia="仿宋_GB2312" w:cs="Times New Roman"/>
          <w:color w:val="auto"/>
          <w:szCs w:val="32"/>
        </w:rPr>
        <w:t>号地块，起叫价为人民币（大写）</w:t>
      </w:r>
      <w:r>
        <w:rPr>
          <w:rFonts w:hint="eastAsia" w:ascii="Times New Roman" w:cs="Times New Roman"/>
          <w:color w:val="auto"/>
          <w:szCs w:val="32"/>
          <w:lang w:eastAsia="zh-CN"/>
        </w:rPr>
        <w:t>肆亿贰仟万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420</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eastAsia" w:ascii="Times New Roman" w:cs="Times New Roman"/>
          <w:color w:val="auto"/>
          <w:szCs w:val="32"/>
          <w:lang w:eastAsia="zh-CN"/>
        </w:rPr>
        <w:t>贰佰万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Cs w:val="32"/>
        </w:rPr>
        <w:t>000.00）或</w:t>
      </w:r>
      <w:r>
        <w:rPr>
          <w:rFonts w:hint="eastAsia" w:ascii="Times New Roman" w:cs="Times New Roman"/>
          <w:color w:val="auto"/>
          <w:szCs w:val="32"/>
          <w:lang w:val="en-US" w:eastAsia="zh-CN"/>
        </w:rPr>
        <w:t>200</w:t>
      </w:r>
      <w:r>
        <w:rPr>
          <w:rFonts w:hint="default" w:ascii="Times New Roman" w:hAnsi="Times New Roman" w:eastAsia="仿宋_GB2312" w:cs="Times New Roman"/>
          <w:color w:val="auto"/>
          <w:szCs w:val="32"/>
        </w:rPr>
        <w:t>万元整数倍金额</w:t>
      </w:r>
      <w:r>
        <w:rPr>
          <w:rFonts w:hint="default" w:ascii="Times New Roman" w:hAnsi="Times New Roman" w:cs="Times New Roman"/>
          <w:color w:val="auto"/>
          <w:szCs w:val="32"/>
          <w:lang w:eastAsia="zh-CN"/>
        </w:rPr>
        <w:t>。</w:t>
      </w:r>
    </w:p>
    <w:p w14:paraId="1EB12BC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八、拍卖程序</w:t>
      </w:r>
    </w:p>
    <w:p w14:paraId="3C1D19C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（一）拍卖会程序</w:t>
      </w:r>
    </w:p>
    <w:p w14:paraId="20E2B05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1．拍卖主持人宣布拍卖会开始。</w:t>
      </w:r>
    </w:p>
    <w:p w14:paraId="6405E22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2．拍卖主持人、记录员、公证员就位。</w:t>
      </w:r>
    </w:p>
    <w:p w14:paraId="3A0DC6E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3．拍卖主持人点算竞买人。点到竞买号牌号码时，竞买人须举牌示意。拍卖主持人宣布竞买人到场情况。</w:t>
      </w:r>
    </w:p>
    <w:p w14:paraId="68AA8BE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4．拍卖主持人介绍拍卖地块的位置、面积、用途、使用年限、规划指标要求、建设时间等。</w:t>
      </w:r>
    </w:p>
    <w:p w14:paraId="0F1B213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5．拍卖主持人宣布拍卖宗地的起叫价、增价规则和增价幅度，并明确提示不设保留价。在拍卖过程中，拍卖主持人可根据现场情况调整增价幅度。</w:t>
      </w:r>
    </w:p>
    <w:p w14:paraId="41CD7B7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6．拍卖主持人报出起叫价，宣布竞价开始。</w:t>
      </w:r>
    </w:p>
    <w:p w14:paraId="303CF21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14:paraId="605FE82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8．拍卖主持人确认该竞买人应价或者报价后继续竞价。</w:t>
      </w:r>
    </w:p>
    <w:p w14:paraId="5771535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14:paraId="074A250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14:paraId="73EA371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（三）出让人与竞得人依据《成交确认书》约定签订《国有建设用地使用权出让合同》。</w:t>
      </w:r>
    </w:p>
    <w:p w14:paraId="1BCE3D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（四）出让结果公布</w:t>
      </w:r>
    </w:p>
    <w:p w14:paraId="27DE706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u w:val="single"/>
        </w:rPr>
      </w:pPr>
      <w:r>
        <w:rPr>
          <w:rFonts w:hint="default" w:ascii="Times New Roman" w:hAnsi="Times New Roman" w:eastAsia="仿宋_GB2312" w:cs="Times New Roman"/>
          <w:color w:val="auto"/>
          <w:szCs w:val="32"/>
        </w:rPr>
        <w:t>我局将在此次国有建设用地使用权拍卖会结束后10个工作日内，在中国土地市场网（www.landchina.com）、泉州自然资源和规划</w:t>
      </w:r>
      <w:r>
        <w:rPr>
          <w:rFonts w:hint="default" w:ascii="Times New Roman" w:hAnsi="Times New Roman" w:eastAsia="仿宋_GB2312" w:cs="Times New Roman"/>
          <w:color w:val="auto"/>
          <w:kern w:val="10"/>
          <w:szCs w:val="32"/>
        </w:rPr>
        <w:t>信息网（</w:t>
      </w:r>
      <w:r>
        <w:rPr>
          <w:rFonts w:hint="default" w:ascii="Times New Roman" w:hAnsi="Times New Roman" w:eastAsia="仿宋_GB2312" w:cs="Times New Roman"/>
          <w:color w:val="auto"/>
          <w:szCs w:val="32"/>
        </w:rPr>
        <w:t>zyghj.quanzhou.gov.cn</w:t>
      </w:r>
      <w:r>
        <w:rPr>
          <w:rFonts w:hint="default" w:ascii="Times New Roman" w:hAnsi="Times New Roman" w:eastAsia="仿宋_GB2312" w:cs="Times New Roman"/>
          <w:color w:val="auto"/>
          <w:kern w:val="10"/>
          <w:szCs w:val="32"/>
        </w:rPr>
        <w:t>）</w:t>
      </w:r>
      <w:r>
        <w:rPr>
          <w:rFonts w:hint="default" w:ascii="Times New Roman" w:hAnsi="Times New Roman" w:eastAsia="仿宋_GB2312" w:cs="Times New Roman"/>
          <w:color w:val="auto"/>
          <w:szCs w:val="32"/>
        </w:rPr>
        <w:t>公布本次国有建设用地使用权拍卖出让结果。</w:t>
      </w:r>
    </w:p>
    <w:p w14:paraId="0359036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九、竞价规则</w:t>
      </w:r>
    </w:p>
    <w:p w14:paraId="7EA702B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（一）不设保留价，按照价高者得的原则确定竞得人。</w:t>
      </w:r>
    </w:p>
    <w:p w14:paraId="4371157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（二）竞买人以举牌方式应价，也可以报价，报价的加价幅度不得小于拍卖主持人宣布或调整的增价幅度。</w:t>
      </w:r>
    </w:p>
    <w:p w14:paraId="341F2F9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10"/>
          <w:szCs w:val="32"/>
        </w:rPr>
        <w:t>（三）竞买人凭《竞买资格确认书》和法定代表人（自然人、受委托代理人）身份证件领取竞买号牌。</w:t>
      </w:r>
      <w:r>
        <w:rPr>
          <w:rFonts w:hint="default" w:ascii="Times New Roman" w:hAnsi="Times New Roman" w:eastAsia="仿宋_GB2312" w:cs="Times New Roman"/>
          <w:color w:val="auto"/>
          <w:szCs w:val="32"/>
        </w:rPr>
        <w:t>竞买号牌代表竞买人的资格。</w:t>
      </w:r>
    </w:p>
    <w:p w14:paraId="69076E0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（四）</w:t>
      </w: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21</w:t>
      </w:r>
      <w:r>
        <w:rPr>
          <w:rFonts w:hint="default" w:ascii="Times New Roman" w:hAnsi="Times New Roman" w:eastAsia="仿宋_GB2312" w:cs="Times New Roman"/>
          <w:color w:val="auto"/>
          <w:szCs w:val="32"/>
        </w:rPr>
        <w:t>日9</w:t>
      </w:r>
      <w:r>
        <w:rPr>
          <w:rFonts w:hint="default" w:ascii="Times New Roman" w:hAnsi="Times New Roman" w:eastAsia="仿宋_GB2312" w:cs="Times New Roman"/>
          <w:color w:val="auto"/>
          <w:kern w:val="10"/>
          <w:szCs w:val="32"/>
        </w:rPr>
        <w:t>:00前，竞买人须领取竞买号牌并进入竞买现场，否则视为放弃竞买资格。</w:t>
      </w:r>
    </w:p>
    <w:p w14:paraId="7812A04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十、缴款时间、交地时间和交地条件</w:t>
      </w:r>
    </w:p>
    <w:p w14:paraId="4020FF6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（一）缴款时间</w:t>
      </w:r>
    </w:p>
    <w:p w14:paraId="44F9E0D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上述地块竞得人自竞得之日起30日内应缴交成交价总额50%的成交价款（竞买保证金转作受让地块的定金，抵作土地出让价款），余款自竞得之日起</w:t>
      </w:r>
      <w:r>
        <w:rPr>
          <w:rFonts w:hint="eastAsia" w:ascii="Times New Roman" w:cs="Times New Roman"/>
          <w:color w:val="auto"/>
          <w:kern w:val="10"/>
          <w:szCs w:val="32"/>
          <w:lang w:val="en-US" w:eastAsia="zh-CN"/>
        </w:rPr>
        <w:t>2</w:t>
      </w:r>
      <w:r>
        <w:rPr>
          <w:rFonts w:hint="default" w:ascii="Times New Roman" w:hAnsi="Times New Roman" w:eastAsia="仿宋_GB2312" w:cs="Times New Roman"/>
          <w:color w:val="auto"/>
          <w:kern w:val="10"/>
          <w:szCs w:val="32"/>
        </w:rPr>
        <w:t>个月内交清。</w:t>
      </w:r>
    </w:p>
    <w:p w14:paraId="6266751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14:paraId="5485F11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（二）交地时间和交地条件</w:t>
      </w:r>
    </w:p>
    <w:p w14:paraId="450BF2B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14:paraId="3E20C0A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十一、开工、竣工时间</w:t>
      </w:r>
    </w:p>
    <w:p w14:paraId="411C2F0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上述地块竞得人应在签订《国有建设用地使用权出让合同》之日起1年内开工，并在开工后</w:t>
      </w:r>
      <w:r>
        <w:rPr>
          <w:rFonts w:hint="default" w:ascii="Times New Roman" w:hAnsi="Times New Roman" w:eastAsia="仿宋_GB2312" w:cs="Times New Roman"/>
          <w:color w:val="auto"/>
          <w:szCs w:val="32"/>
          <w:lang w:val="en-US" w:eastAsia="zh-CN"/>
        </w:rPr>
        <w:t>3</w:t>
      </w:r>
      <w:r>
        <w:rPr>
          <w:rFonts w:hint="default" w:ascii="Times New Roman" w:hAnsi="Times New Roman" w:eastAsia="仿宋_GB2312" w:cs="Times New Roman"/>
          <w:color w:val="auto"/>
          <w:szCs w:val="32"/>
        </w:rPr>
        <w:t>年内竣工。</w:t>
      </w:r>
    </w:p>
    <w:p w14:paraId="0A5114D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竞得人未能按照合同约定日期或同意延建所另行约定日期开工建设但不超过一年的，每延期一日，应向出让人支付相当于国有建设用地使用权出让价款总额1‰的违约金，出让人有权要求竞得人继续履约。</w:t>
      </w:r>
    </w:p>
    <w:p w14:paraId="45AD963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竞得人未能按照合同约定日期或同意延建所另行约定日期竣工的，每延期一日，应向出让人支付相当于未竣工计容建筑面积对应国有建设用地使用权出让价款1‰的违约金。</w:t>
      </w:r>
    </w:p>
    <w:p w14:paraId="0E57441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竞得人应</w:t>
      </w:r>
      <w:r>
        <w:rPr>
          <w:rFonts w:hint="default" w:ascii="Times New Roman" w:hAnsi="Times New Roman" w:cs="Times New Roman"/>
          <w:color w:val="auto"/>
          <w:szCs w:val="32"/>
          <w:lang w:eastAsia="zh-CN"/>
        </w:rPr>
        <w:t>在开工建设、竣工验收后及时向我局进行开工、竣工申报。</w:t>
      </w:r>
    </w:p>
    <w:p w14:paraId="3BAE862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竞得人造成土地闲置，按《闲置土地处置办法》有关规定执行。</w:t>
      </w:r>
    </w:p>
    <w:p w14:paraId="1D3154B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十二、注意事项</w:t>
      </w:r>
    </w:p>
    <w:p w14:paraId="434A4CC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hint="default" w:ascii="Times New Roman" w:hAnsi="Times New Roman" w:eastAsia="仿宋_GB2312" w:cs="Times New Roman"/>
          <w:color w:val="auto"/>
          <w:szCs w:val="32"/>
        </w:rPr>
        <w:t>竞买人</w:t>
      </w:r>
      <w:bookmarkEnd w:id="0"/>
      <w:r>
        <w:rPr>
          <w:rFonts w:hint="default" w:ascii="Times New Roman" w:hAnsi="Times New Roman" w:eastAsia="仿宋_GB2312" w:cs="Times New Roman"/>
          <w:color w:val="auto"/>
          <w:szCs w:val="32"/>
        </w:rPr>
        <w:t>对拍卖文件及地块现状无异议并全部接受，并对有关承诺承担法律责任。</w:t>
      </w:r>
    </w:p>
    <w:p w14:paraId="23AFB50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14:paraId="2DCFD49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（三）竞买人一经应价或报价，不可撤回。</w:t>
      </w:r>
    </w:p>
    <w:p w14:paraId="110D5E2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14:paraId="093280E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14:paraId="3626EC8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（六）有下列情形之一的，出让人或组织方应当在拍卖会前终止拍卖活动，并通知竞买人：</w:t>
      </w:r>
    </w:p>
    <w:p w14:paraId="358653A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1．竞买人串通损害国家利益、社会利益或他人合法权益的；</w:t>
      </w:r>
    </w:p>
    <w:p w14:paraId="3387843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2．拍卖工作人员私下接触竞买人，足以影响拍卖公正性的；</w:t>
      </w:r>
    </w:p>
    <w:p w14:paraId="7AF4151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3．应当依法终止拍卖活动的其他情形。</w:t>
      </w:r>
    </w:p>
    <w:p w14:paraId="1C37A3A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（七）竞得人有下列行为之一的，视为违约，出让人或组织方可取消其竞得人资格，竞买保证金不予退还：</w:t>
      </w:r>
    </w:p>
    <w:p w14:paraId="3FC68B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1．竞得人逾期或拒绝签订《成交确认书》的；</w:t>
      </w:r>
    </w:p>
    <w:p w14:paraId="56589C4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w:t>
      </w:r>
      <w:bookmarkStart w:id="1" w:name="OLE_LINK2"/>
      <w:r>
        <w:rPr>
          <w:rFonts w:hint="default" w:ascii="Times New Roman" w:hAnsi="Times New Roman" w:eastAsia="仿宋_GB2312" w:cs="Times New Roman"/>
          <w:color w:val="auto"/>
          <w:szCs w:val="32"/>
        </w:rPr>
        <w:t>．</w:t>
      </w:r>
      <w:bookmarkEnd w:id="1"/>
      <w:r>
        <w:rPr>
          <w:rFonts w:hint="default" w:ascii="Times New Roman" w:hAnsi="Times New Roman" w:eastAsia="仿宋_GB2312" w:cs="Times New Roman"/>
          <w:color w:val="auto"/>
          <w:szCs w:val="32"/>
        </w:rPr>
        <w:t>竞得人逾期或拒绝签订《国有建设用地使用权出让合同》的。</w:t>
      </w:r>
    </w:p>
    <w:p w14:paraId="5F81156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3．竞得人开出的银行支票或汇票在有效期内不能兑现或不能全部兑现。</w:t>
      </w:r>
    </w:p>
    <w:p w14:paraId="2D12357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14:paraId="3130F7D0">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160D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0BD42A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成交金额</w:t>
            </w:r>
          </w:p>
        </w:tc>
        <w:tc>
          <w:tcPr>
            <w:tcW w:w="2761" w:type="dxa"/>
          </w:tcPr>
          <w:p w14:paraId="0146D801">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费率</w:t>
            </w:r>
          </w:p>
        </w:tc>
      </w:tr>
      <w:tr w14:paraId="64A3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60F1AC61">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100万元以下（含100万元）</w:t>
            </w:r>
          </w:p>
        </w:tc>
        <w:tc>
          <w:tcPr>
            <w:tcW w:w="2761" w:type="dxa"/>
          </w:tcPr>
          <w:p w14:paraId="6D4A5AE9">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0.45%</w:t>
            </w:r>
          </w:p>
        </w:tc>
      </w:tr>
      <w:tr w14:paraId="2F98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76ECA9B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100-500万元部分（含500万元）</w:t>
            </w:r>
          </w:p>
        </w:tc>
        <w:tc>
          <w:tcPr>
            <w:tcW w:w="2761" w:type="dxa"/>
          </w:tcPr>
          <w:p w14:paraId="02D49CDD">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0.4%</w:t>
            </w:r>
          </w:p>
        </w:tc>
      </w:tr>
      <w:tr w14:paraId="7653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14:paraId="4EA715D6">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500-1000万元部分（含1000万元）</w:t>
            </w:r>
          </w:p>
        </w:tc>
        <w:tc>
          <w:tcPr>
            <w:tcW w:w="2761" w:type="dxa"/>
          </w:tcPr>
          <w:p w14:paraId="125F0AC9">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0.3%</w:t>
            </w:r>
          </w:p>
        </w:tc>
      </w:tr>
      <w:tr w14:paraId="09C3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6C0958E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1000-3000万元部分（含3000万元）</w:t>
            </w:r>
          </w:p>
        </w:tc>
        <w:tc>
          <w:tcPr>
            <w:tcW w:w="2761" w:type="dxa"/>
          </w:tcPr>
          <w:p w14:paraId="2FC75488">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0.2%</w:t>
            </w:r>
          </w:p>
        </w:tc>
      </w:tr>
      <w:tr w14:paraId="651A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769D4A71">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3000-5000万元部分（含5000万元）</w:t>
            </w:r>
          </w:p>
        </w:tc>
        <w:tc>
          <w:tcPr>
            <w:tcW w:w="2761" w:type="dxa"/>
          </w:tcPr>
          <w:p w14:paraId="2C745932">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0.1%</w:t>
            </w:r>
          </w:p>
        </w:tc>
      </w:tr>
      <w:tr w14:paraId="20E4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660F6532">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5000-10000万元部分（含10000万元）</w:t>
            </w:r>
          </w:p>
        </w:tc>
        <w:tc>
          <w:tcPr>
            <w:tcW w:w="2761" w:type="dxa"/>
          </w:tcPr>
          <w:p w14:paraId="10D9BEEB">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0.08%</w:t>
            </w:r>
          </w:p>
        </w:tc>
      </w:tr>
      <w:tr w14:paraId="0825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14:paraId="1460BE08">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10000万元以上</w:t>
            </w:r>
          </w:p>
        </w:tc>
        <w:tc>
          <w:tcPr>
            <w:tcW w:w="2761" w:type="dxa"/>
          </w:tcPr>
          <w:p w14:paraId="456DDF6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w:t>
            </w:r>
          </w:p>
        </w:tc>
      </w:tr>
    </w:tbl>
    <w:p w14:paraId="17EA8CA9">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注：按上述费率分级累进计收，每宗收费金额不足100元的按100元收取。</w:t>
      </w:r>
    </w:p>
    <w:p w14:paraId="2B072A38">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竞得人须在成交之日起3个工作日内将交易服务费汇到泉州市产权交易中心有限公司指定账号内。</w:t>
      </w:r>
      <w:r>
        <w:rPr>
          <w:rFonts w:hint="default" w:ascii="Times New Roman" w:hAnsi="Times New Roman" w:eastAsia="仿宋_GB2312" w:cs="Times New Roman"/>
          <w:bCs/>
          <w:color w:val="auto"/>
          <w:szCs w:val="32"/>
        </w:rPr>
        <w:t>交易服务费账户户名</w:t>
      </w:r>
      <w:r>
        <w:rPr>
          <w:rFonts w:hint="default" w:ascii="Times New Roman" w:hAnsi="Times New Roman" w:eastAsia="仿宋_GB2312" w:cs="Times New Roman"/>
          <w:color w:val="auto"/>
          <w:szCs w:val="32"/>
        </w:rPr>
        <w:t>：泉州市产权交易中心有限公司，兴业银行泉州丰泽支行152690100100090830。</w:t>
      </w:r>
    </w:p>
    <w:p w14:paraId="20E06D7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14:paraId="0407542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（十）竞得人付清全部拍卖成交价款后，依法申请办理土地登记，领取《不动产权证》，取得土地使用权。</w:t>
      </w:r>
    </w:p>
    <w:p w14:paraId="13EC9C5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14:paraId="0E8D66E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（十二）拍卖不成交的，按规定由我局重新组织出让。</w:t>
      </w:r>
    </w:p>
    <w:p w14:paraId="08C6F4C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（十三）参加拍卖活动的人员，应遵守现场的纪律，服从管理人员的管理。</w:t>
      </w:r>
    </w:p>
    <w:p w14:paraId="5D79B32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u w:val="single"/>
        </w:rPr>
      </w:pPr>
      <w:r>
        <w:rPr>
          <w:rFonts w:hint="default" w:ascii="Times New Roman" w:hAnsi="Times New Roman" w:eastAsia="仿宋_GB2312" w:cs="Times New Roman"/>
          <w:color w:val="auto"/>
          <w:szCs w:val="32"/>
        </w:rPr>
        <w:t>（十四）</w:t>
      </w:r>
      <w:r>
        <w:rPr>
          <w:rFonts w:hint="default" w:ascii="Times New Roman" w:hAnsi="Times New Roman" w:eastAsia="仿宋_GB2312" w:cs="Times New Roman"/>
          <w:color w:val="auto"/>
          <w:kern w:val="10"/>
          <w:szCs w:val="32"/>
        </w:rPr>
        <w:t>拍卖工作人员对拍卖出让标的，无论采取任何方式所作的介绍及评论，均作为参考性意见，不构成对拍卖标的任何担保。</w:t>
      </w:r>
    </w:p>
    <w:p w14:paraId="71401D7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（十五）我局对本《须知》有解释权。未尽事宜依照原国土资源部《招标拍卖挂牌出让国有土地使用权规范（试行）》、《福建省国有土地使用权出让工作规范（试行）》办理。</w:t>
      </w:r>
    </w:p>
    <w:p w14:paraId="55F5D999">
      <w:pPr>
        <w:keepNext w:val="0"/>
        <w:keepLines w:val="0"/>
        <w:pageBreakBefore w:val="0"/>
        <w:kinsoku/>
        <w:wordWrap/>
        <w:overflowPunct/>
        <w:topLinePunct w:val="0"/>
        <w:autoSpaceDE/>
        <w:autoSpaceDN/>
        <w:bidi w:val="0"/>
        <w:adjustRightInd/>
        <w:snapToGrid/>
        <w:spacing w:line="540" w:lineRule="exact"/>
        <w:ind w:right="1440" w:rightChars="450"/>
        <w:textAlignment w:val="auto"/>
        <w:rPr>
          <w:rFonts w:hint="default" w:ascii="Times New Roman" w:hAnsi="Times New Roman" w:eastAsia="仿宋_GB2312" w:cs="Times New Roman"/>
          <w:color w:val="auto"/>
          <w:szCs w:val="32"/>
        </w:rPr>
      </w:pPr>
    </w:p>
    <w:p w14:paraId="64A952B1">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rPr>
      </w:pPr>
    </w:p>
    <w:p w14:paraId="3BB7997D">
      <w:pPr>
        <w:keepNext w:val="0"/>
        <w:keepLines w:val="0"/>
        <w:pageBreakBefore w:val="0"/>
        <w:kinsoku/>
        <w:wordWrap/>
        <w:overflowPunct/>
        <w:topLinePunct w:val="0"/>
        <w:autoSpaceDE/>
        <w:autoSpaceDN/>
        <w:bidi w:val="0"/>
        <w:adjustRightInd/>
        <w:snapToGrid/>
        <w:spacing w:line="540" w:lineRule="exact"/>
        <w:ind w:right="1440" w:rightChars="450"/>
        <w:jc w:val="righ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泉州市自然资源和规划局</w:t>
      </w:r>
    </w:p>
    <w:p w14:paraId="4F1517A7">
      <w:pPr>
        <w:keepNext w:val="0"/>
        <w:keepLines w:val="0"/>
        <w:pageBreakBefore w:val="0"/>
        <w:kinsoku/>
        <w:wordWrap/>
        <w:overflowPunct/>
        <w:topLinePunct w:val="0"/>
        <w:autoSpaceDE/>
        <w:autoSpaceDN/>
        <w:bidi w:val="0"/>
        <w:adjustRightInd/>
        <w:snapToGrid/>
        <w:spacing w:line="540" w:lineRule="exact"/>
        <w:ind w:right="1920" w:rightChars="600"/>
        <w:jc w:val="righ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9</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30</w:t>
      </w:r>
      <w:bookmarkStart w:id="2" w:name="_GoBack"/>
      <w:bookmarkEnd w:id="2"/>
      <w:r>
        <w:rPr>
          <w:rFonts w:hint="default" w:ascii="Times New Roman" w:hAnsi="Times New Roman" w:eastAsia="仿宋_GB2312" w:cs="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0A4A9">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12</w:t>
    </w:r>
    <w:r>
      <w:fldChar w:fldCharType="end"/>
    </w:r>
  </w:p>
  <w:p w14:paraId="1D8D326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0D8DA">
    <w:pPr>
      <w:pStyle w:val="10"/>
      <w:framePr w:wrap="around" w:vAnchor="text" w:hAnchor="margin" w:xAlign="center" w:y="1"/>
      <w:rPr>
        <w:rStyle w:val="15"/>
      </w:rPr>
    </w:pPr>
    <w:r>
      <w:fldChar w:fldCharType="begin"/>
    </w:r>
    <w:r>
      <w:rPr>
        <w:rStyle w:val="15"/>
      </w:rPr>
      <w:instrText xml:space="preserve">PAGE  </w:instrText>
    </w:r>
    <w:r>
      <w:fldChar w:fldCharType="end"/>
    </w:r>
  </w:p>
  <w:p w14:paraId="489B62B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86C4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5"/>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99720B"/>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86792F"/>
    <w:rsid w:val="1FF746DA"/>
    <w:rsid w:val="20772D49"/>
    <w:rsid w:val="20B024A1"/>
    <w:rsid w:val="249B428E"/>
    <w:rsid w:val="24EF1A8E"/>
    <w:rsid w:val="25205CF8"/>
    <w:rsid w:val="25AF0447"/>
    <w:rsid w:val="25E129FE"/>
    <w:rsid w:val="29535BBE"/>
    <w:rsid w:val="2BD42381"/>
    <w:rsid w:val="2CED06D8"/>
    <w:rsid w:val="2E9F243D"/>
    <w:rsid w:val="2EE17814"/>
    <w:rsid w:val="2FEF7D77"/>
    <w:rsid w:val="31417311"/>
    <w:rsid w:val="315601E0"/>
    <w:rsid w:val="3566232B"/>
    <w:rsid w:val="36D816C4"/>
    <w:rsid w:val="39DD2AC7"/>
    <w:rsid w:val="3A314ED2"/>
    <w:rsid w:val="3A7D040E"/>
    <w:rsid w:val="3B0E44F4"/>
    <w:rsid w:val="3B7FC157"/>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3417DE8"/>
    <w:rsid w:val="537D4D10"/>
    <w:rsid w:val="545D6861"/>
    <w:rsid w:val="551E49A7"/>
    <w:rsid w:val="565C1810"/>
    <w:rsid w:val="58805E0B"/>
    <w:rsid w:val="58E542B1"/>
    <w:rsid w:val="59FFFD36"/>
    <w:rsid w:val="5A100A69"/>
    <w:rsid w:val="5AC66E6D"/>
    <w:rsid w:val="5C2F2B85"/>
    <w:rsid w:val="5C8143B3"/>
    <w:rsid w:val="5C99BAAC"/>
    <w:rsid w:val="5CCEE906"/>
    <w:rsid w:val="5D711BC1"/>
    <w:rsid w:val="5DC00719"/>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B9B0A9F"/>
    <w:rsid w:val="6C5E3ED7"/>
    <w:rsid w:val="6D601559"/>
    <w:rsid w:val="6DC95D5B"/>
    <w:rsid w:val="6EB0E047"/>
    <w:rsid w:val="6F4A2587"/>
    <w:rsid w:val="6F565F34"/>
    <w:rsid w:val="6F817756"/>
    <w:rsid w:val="6FBBBABD"/>
    <w:rsid w:val="706C57A0"/>
    <w:rsid w:val="70856287"/>
    <w:rsid w:val="71BFAB18"/>
    <w:rsid w:val="71CC5BD1"/>
    <w:rsid w:val="735B762D"/>
    <w:rsid w:val="73FF559C"/>
    <w:rsid w:val="73FF5AE4"/>
    <w:rsid w:val="75BE6923"/>
    <w:rsid w:val="75DE796D"/>
    <w:rsid w:val="761B3A3C"/>
    <w:rsid w:val="772C6592"/>
    <w:rsid w:val="7BE7A779"/>
    <w:rsid w:val="7BF7CC0B"/>
    <w:rsid w:val="7BFD8D70"/>
    <w:rsid w:val="7C614DBC"/>
    <w:rsid w:val="7CED3003"/>
    <w:rsid w:val="7CFE5411"/>
    <w:rsid w:val="7DC16531"/>
    <w:rsid w:val="7DFD2408"/>
    <w:rsid w:val="7E216D95"/>
    <w:rsid w:val="7F3C7C26"/>
    <w:rsid w:val="7FAFA16A"/>
    <w:rsid w:val="7FFD452B"/>
    <w:rsid w:val="9FEBAC2A"/>
    <w:rsid w:val="ADAD7FA1"/>
    <w:rsid w:val="AFFF219C"/>
    <w:rsid w:val="B6F5B665"/>
    <w:rsid w:val="B7DB20F6"/>
    <w:rsid w:val="BD3B2D74"/>
    <w:rsid w:val="BEE466A8"/>
    <w:rsid w:val="C77BCFBB"/>
    <w:rsid w:val="CDDBF24C"/>
    <w:rsid w:val="D7BBABC2"/>
    <w:rsid w:val="DBEEA248"/>
    <w:rsid w:val="DD7C8DA1"/>
    <w:rsid w:val="DF3E697F"/>
    <w:rsid w:val="EF9DD4E3"/>
    <w:rsid w:val="F33752BE"/>
    <w:rsid w:val="F9D441FD"/>
    <w:rsid w:val="FAFE31B2"/>
    <w:rsid w:val="FBBFE06A"/>
    <w:rsid w:val="FBFFDF85"/>
    <w:rsid w:val="FD9FE1A1"/>
    <w:rsid w:val="FDF4538C"/>
    <w:rsid w:val="FED7EB8E"/>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6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unhideWhenUsed/>
    <w:qFormat/>
    <w:uiPriority w:val="0"/>
    <w:pPr>
      <w:spacing w:beforeAutospacing="1" w:afterAutospacing="1"/>
      <w:jc w:val="left"/>
    </w:pPr>
    <w:rPr>
      <w:sz w:val="24"/>
    </w:rPr>
  </w:style>
  <w:style w:type="table" w:styleId="13">
    <w:name w:val="Table Grid"/>
    <w:basedOn w:val="1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Char"/>
    <w:basedOn w:val="1"/>
    <w:qFormat/>
    <w:uiPriority w:val="0"/>
  </w:style>
  <w:style w:type="paragraph" w:customStyle="1" w:styleId="18">
    <w:name w:val="_Style 3"/>
    <w:basedOn w:val="1"/>
    <w:qFormat/>
    <w:uiPriority w:val="0"/>
  </w:style>
  <w:style w:type="paragraph" w:customStyle="1" w:styleId="19">
    <w:name w:val="Char Char"/>
    <w:basedOn w:val="1"/>
    <w:qFormat/>
    <w:uiPriority w:val="0"/>
    <w:rPr>
      <w:rFonts w:ascii="Times New Roman" w:eastAsia="宋体"/>
      <w:color w:val="auto"/>
      <w:kern w:val="2"/>
      <w:sz w:val="21"/>
      <w:szCs w:val="24"/>
    </w:rPr>
  </w:style>
  <w:style w:type="paragraph" w:customStyle="1" w:styleId="20">
    <w:name w:val="Char Char8"/>
    <w:basedOn w:val="1"/>
    <w:qFormat/>
    <w:uiPriority w:val="0"/>
    <w:rPr>
      <w:rFonts w:ascii="Times New Roman" w:eastAsia="宋体"/>
      <w:color w:val="auto"/>
      <w:kern w:val="2"/>
      <w:sz w:val="21"/>
      <w:szCs w:val="24"/>
    </w:rPr>
  </w:style>
  <w:style w:type="paragraph" w:customStyle="1" w:styleId="21">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15</Pages>
  <Words>7922</Words>
  <Characters>8556</Characters>
  <Lines>45</Lines>
  <Paragraphs>12</Paragraphs>
  <TotalTime>0</TotalTime>
  <ScaleCrop>false</ScaleCrop>
  <LinksUpToDate>false</LinksUpToDate>
  <CharactersWithSpaces>8563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2019-12-18T07:04:00Z</dcterms:created>
  <dc:creator>未羽</dc:creator>
  <cp:lastModifiedBy>aaaaa</cp:lastModifiedBy>
  <cp:lastPrinted>2025-09-30T02:37:00Z</cp:lastPrinted>
  <dcterms:modified xsi:type="dcterms:W3CDTF">2025-09-29T17:53:19Z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