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汉仪大宋简"/>
          <w:color w:val="auto"/>
          <w:sz w:val="44"/>
          <w:szCs w:val="44"/>
        </w:rPr>
        <w:t>鲤202</w:t>
      </w:r>
      <w:r>
        <w:rPr>
          <w:rFonts w:hint="eastAsia" w:ascii="Times New Roman" w:eastAsia="汉仪大宋简"/>
          <w:color w:val="auto"/>
          <w:sz w:val="44"/>
          <w:szCs w:val="44"/>
          <w:lang w:val="en-US" w:eastAsia="zh-CN"/>
        </w:rPr>
        <w:t>4</w:t>
      </w:r>
      <w:r>
        <w:rPr>
          <w:rFonts w:hint="eastAsia" w:ascii="Times New Roman" w:eastAsia="汉仪大宋简"/>
          <w:color w:val="auto"/>
          <w:sz w:val="44"/>
          <w:szCs w:val="44"/>
        </w:rPr>
        <w:t>-</w:t>
      </w:r>
      <w:r>
        <w:rPr>
          <w:rFonts w:hint="eastAsia" w:ascii="Times New Roman" w:eastAsia="汉仪大宋简"/>
          <w:color w:val="auto"/>
          <w:sz w:val="44"/>
          <w:szCs w:val="44"/>
          <w:lang w:val="en-US" w:eastAsia="zh-CN"/>
        </w:rPr>
        <w:t>15</w:t>
      </w:r>
      <w:r>
        <w:rPr>
          <w:rFonts w:hint="eastAsia" w:ascii="Times New Roman" w:eastAsia="汉仪大宋简"/>
          <w:color w:val="auto"/>
          <w:sz w:val="44"/>
          <w:szCs w:val="44"/>
        </w:rPr>
        <w:t>号</w:t>
      </w:r>
      <w:r>
        <w:rPr>
          <w:rFonts w:hint="eastAsia" w:ascii="Times New Roman" w:eastAsia="汉仪大宋简"/>
          <w:color w:val="auto"/>
          <w:sz w:val="44"/>
          <w:szCs w:val="44"/>
          <w:lang w:eastAsia="zh-CN"/>
        </w:rPr>
        <w:t>等</w:t>
      </w:r>
      <w:r>
        <w:rPr>
          <w:rFonts w:hint="eastAsia" w:ascii="Times New Roman" w:eastAsia="汉仪大宋简"/>
          <w:color w:val="auto"/>
          <w:sz w:val="44"/>
          <w:szCs w:val="44"/>
          <w:lang w:val="en-US" w:eastAsia="zh-CN"/>
        </w:rPr>
        <w:t>4宗</w:t>
      </w:r>
      <w:r>
        <w:rPr>
          <w:rFonts w:ascii="Times New Roman" w:eastAsia="汉仪大宋简"/>
          <w:color w:val="auto"/>
          <w:sz w:val="44"/>
          <w:szCs w:val="44"/>
        </w:rPr>
        <w:t>地块</w:t>
      </w:r>
      <w:r>
        <w:rPr>
          <w:rFonts w:ascii="Times New Roman" w:eastAsia="方正小标宋简体"/>
          <w:bCs/>
          <w:color w:val="auto"/>
          <w:sz w:val="44"/>
          <w:szCs w:val="44"/>
        </w:rPr>
        <w:t>国有建设用地使用权拍卖出让须知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w:t>
      </w:r>
      <w:r>
        <w:rPr>
          <w:rFonts w:hint="eastAsia" w:hAnsi="仿宋_GB2312" w:cs="仿宋_GB2312"/>
          <w:color w:val="auto"/>
          <w:szCs w:val="32"/>
          <w:lang w:val="en-US" w:eastAsia="zh-CN"/>
        </w:rPr>
        <w:t>2024-15号等4宗</w:t>
      </w:r>
      <w:r>
        <w:rPr>
          <w:rFonts w:hint="eastAsia" w:ascii="仿宋_GB2312" w:hAnsi="仿宋_GB2312" w:eastAsia="仿宋_GB2312" w:cs="仿宋_GB2312"/>
          <w:color w:val="auto"/>
          <w:szCs w:val="32"/>
        </w:rPr>
        <w:t>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hAnsi="仿宋_GB2312" w:cs="仿宋_GB2312"/>
          <w:color w:val="auto"/>
          <w:sz w:val="30"/>
          <w:szCs w:val="30"/>
          <w:lang w:val="en-US" w:eastAsia="zh-CN"/>
        </w:rPr>
        <w:t>11</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13</w:t>
      </w:r>
      <w:r>
        <w:rPr>
          <w:rFonts w:hint="eastAsia" w:ascii="仿宋_GB2312" w:hAnsi="仿宋_GB2312" w:eastAsia="仿宋_GB2312" w:cs="仿宋_GB2312"/>
          <w:color w:val="auto"/>
          <w:sz w:val="30"/>
          <w:szCs w:val="30"/>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spacing w:line="52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（一）</w:t>
      </w:r>
      <w:r>
        <w:rPr>
          <w:rFonts w:hint="eastAsia" w:ascii="楷体_GB2312" w:hAnsi="黑体" w:eastAsia="楷体_GB2312" w:cs="黑体"/>
          <w:b/>
          <w:sz w:val="32"/>
          <w:szCs w:val="32"/>
          <w:lang w:eastAsia="zh-CN"/>
        </w:rPr>
        <w:t>鲤2024-15号地块。</w:t>
      </w:r>
      <w:r>
        <w:rPr>
          <w:rFonts w:eastAsia="仿宋_GB2312"/>
          <w:sz w:val="32"/>
          <w:szCs w:val="32"/>
        </w:rPr>
        <w:t>该宗地即</w:t>
      </w:r>
      <w:r>
        <w:rPr>
          <w:rFonts w:hint="eastAsia" w:eastAsia="仿宋_GB2312"/>
          <w:sz w:val="32"/>
          <w:szCs w:val="32"/>
          <w:lang w:val="en-US" w:eastAsia="zh-CN"/>
        </w:rPr>
        <w:t>2025-30</w:t>
      </w:r>
      <w:r>
        <w:rPr>
          <w:rFonts w:eastAsia="仿宋_GB2312"/>
          <w:sz w:val="32"/>
          <w:szCs w:val="32"/>
        </w:rPr>
        <w:t>号储备用地，</w:t>
      </w:r>
      <w:r>
        <w:rPr>
          <w:rFonts w:hint="eastAsia" w:eastAsia="仿宋"/>
          <w:color w:val="000000"/>
          <w:sz w:val="32"/>
          <w:szCs w:val="32"/>
        </w:rPr>
        <w:t>该宗地位于鲤城区新门街</w:t>
      </w:r>
      <w:r>
        <w:rPr>
          <w:rFonts w:hint="eastAsia" w:eastAsia="仿宋"/>
          <w:color w:val="000000"/>
          <w:sz w:val="32"/>
          <w:szCs w:val="32"/>
          <w:lang w:eastAsia="zh-CN"/>
        </w:rPr>
        <w:t>北侧</w:t>
      </w:r>
      <w:r>
        <w:rPr>
          <w:rFonts w:hint="eastAsia" w:eastAsia="仿宋"/>
          <w:color w:val="000000"/>
          <w:sz w:val="32"/>
          <w:szCs w:val="32"/>
        </w:rPr>
        <w:t>，源和1916园区内，</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775.03平方米（约合1.16亩）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旅馆用地</w:t>
      </w:r>
      <w:r>
        <w:rPr>
          <w:rFonts w:hint="eastAsia" w:eastAsia="仿宋"/>
          <w:color w:val="000000"/>
          <w:sz w:val="32"/>
          <w:szCs w:val="32"/>
        </w:rPr>
        <w:t>。主要技术指标：容积率</w:t>
      </w:r>
      <w:r>
        <w:rPr>
          <w:rFonts w:hint="eastAsia" w:eastAsia="仿宋"/>
          <w:color w:val="000000"/>
          <w:sz w:val="32"/>
          <w:szCs w:val="32"/>
          <w:lang w:val="en-US" w:eastAsia="zh-CN"/>
        </w:rPr>
        <w:t>2.2以下</w:t>
      </w:r>
      <w:r>
        <w:rPr>
          <w:rFonts w:hint="eastAsia" w:eastAsia="仿宋"/>
          <w:color w:val="000000"/>
          <w:sz w:val="32"/>
          <w:szCs w:val="32"/>
        </w:rPr>
        <w:t>，建筑密度</w:t>
      </w:r>
      <w:r>
        <w:rPr>
          <w:rFonts w:hint="eastAsia" w:eastAsia="仿宋"/>
          <w:color w:val="000000"/>
          <w:sz w:val="32"/>
          <w:szCs w:val="32"/>
          <w:lang w:val="en-US" w:eastAsia="zh-CN"/>
        </w:rPr>
        <w:t>45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18</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val="zh-CN"/>
        </w:rPr>
        <w:t>旅馆及其配套设施</w:t>
      </w:r>
      <w:r>
        <w:rPr>
          <w:rFonts w:hint="eastAsia" w:eastAsia="仿宋"/>
          <w:color w:val="000000"/>
          <w:sz w:val="32"/>
          <w:szCs w:val="32"/>
          <w:lang w:val="en-US" w:eastAsia="zh-CN"/>
        </w:rPr>
        <w:t>。</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（二）</w:t>
      </w:r>
      <w:r>
        <w:rPr>
          <w:rFonts w:hint="eastAsia" w:ascii="楷体_GB2312" w:hAnsi="黑体" w:eastAsia="楷体_GB2312" w:cs="黑体"/>
          <w:b/>
          <w:sz w:val="32"/>
          <w:szCs w:val="32"/>
          <w:lang w:eastAsia="zh-CN"/>
        </w:rPr>
        <w:t>鲤2024-1</w:t>
      </w:r>
      <w:r>
        <w:rPr>
          <w:rFonts w:hint="eastAsia" w:ascii="楷体_GB2312" w:hAnsi="黑体" w:eastAsia="楷体_GB2312" w:cs="黑体"/>
          <w:b/>
          <w:sz w:val="32"/>
          <w:szCs w:val="32"/>
          <w:lang w:val="en-US" w:eastAsia="zh-CN"/>
        </w:rPr>
        <w:t>6</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2025-28</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温陵路</w:t>
      </w:r>
      <w:r>
        <w:rPr>
          <w:rFonts w:hint="eastAsia" w:eastAsia="仿宋"/>
          <w:color w:val="000000"/>
          <w:sz w:val="32"/>
          <w:szCs w:val="32"/>
          <w:lang w:val="en-US" w:eastAsia="zh-CN"/>
        </w:rPr>
        <w:t>西侧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1399.32平方米（约合2.1亩）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旅馆用地</w:t>
      </w:r>
      <w:r>
        <w:rPr>
          <w:rFonts w:hint="eastAsia" w:eastAsia="仿宋"/>
          <w:color w:val="000000"/>
          <w:sz w:val="32"/>
          <w:szCs w:val="32"/>
        </w:rPr>
        <w:t>。主要技术指标：容积率</w:t>
      </w:r>
      <w:r>
        <w:rPr>
          <w:rFonts w:hint="eastAsia" w:eastAsia="仿宋"/>
          <w:color w:val="000000"/>
          <w:sz w:val="32"/>
          <w:szCs w:val="32"/>
          <w:lang w:val="en-US" w:eastAsia="zh-CN"/>
        </w:rPr>
        <w:t>2.2以下</w:t>
      </w:r>
      <w:r>
        <w:rPr>
          <w:rFonts w:hint="eastAsia" w:eastAsia="仿宋"/>
          <w:color w:val="000000"/>
          <w:sz w:val="32"/>
          <w:szCs w:val="32"/>
        </w:rPr>
        <w:t>，建筑密度</w:t>
      </w:r>
      <w:r>
        <w:rPr>
          <w:rFonts w:hint="eastAsia" w:eastAsia="仿宋"/>
          <w:color w:val="000000"/>
          <w:sz w:val="32"/>
          <w:szCs w:val="32"/>
          <w:lang w:val="en-US" w:eastAsia="zh-CN"/>
        </w:rPr>
        <w:t>45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18</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val="zh-CN"/>
        </w:rPr>
        <w:t>旅馆及其配套设施</w:t>
      </w:r>
      <w:r>
        <w:rPr>
          <w:rFonts w:hint="eastAsia" w:eastAsia="仿宋"/>
          <w:color w:val="000000"/>
          <w:sz w:val="32"/>
          <w:szCs w:val="32"/>
          <w:lang w:val="en-US" w:eastAsia="zh-CN"/>
        </w:rPr>
        <w:t>。</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（三）</w:t>
      </w:r>
      <w:r>
        <w:rPr>
          <w:rFonts w:hint="eastAsia" w:ascii="楷体_GB2312" w:hAnsi="黑体" w:eastAsia="楷体_GB2312" w:cs="黑体"/>
          <w:b/>
          <w:sz w:val="32"/>
          <w:szCs w:val="32"/>
          <w:lang w:eastAsia="zh-CN"/>
        </w:rPr>
        <w:t>鲤2024-</w:t>
      </w:r>
      <w:r>
        <w:rPr>
          <w:rFonts w:hint="eastAsia" w:ascii="楷体_GB2312" w:hAnsi="黑体" w:eastAsia="楷体_GB2312" w:cs="黑体"/>
          <w:b/>
          <w:sz w:val="32"/>
          <w:szCs w:val="32"/>
          <w:lang w:val="en-US" w:eastAsia="zh-CN"/>
        </w:rPr>
        <w:t>20</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2025-25</w:t>
      </w:r>
      <w:r>
        <w:rPr>
          <w:rFonts w:eastAsia="仿宋_GB2312"/>
          <w:sz w:val="32"/>
          <w:szCs w:val="32"/>
        </w:rPr>
        <w:t>号储备用地，</w:t>
      </w:r>
      <w:r>
        <w:rPr>
          <w:rFonts w:hint="eastAsia" w:eastAsia="仿宋"/>
          <w:color w:val="000000"/>
          <w:sz w:val="32"/>
          <w:szCs w:val="32"/>
        </w:rPr>
        <w:t>该宗地位于鲤城区新门街</w:t>
      </w:r>
      <w:r>
        <w:rPr>
          <w:rFonts w:hint="eastAsia" w:eastAsia="仿宋"/>
          <w:color w:val="000000"/>
          <w:sz w:val="32"/>
          <w:szCs w:val="32"/>
          <w:lang w:eastAsia="zh-CN"/>
        </w:rPr>
        <w:t>北侧</w:t>
      </w:r>
      <w:r>
        <w:rPr>
          <w:rFonts w:hint="eastAsia" w:eastAsia="仿宋"/>
          <w:color w:val="000000"/>
          <w:sz w:val="32"/>
          <w:szCs w:val="32"/>
        </w:rPr>
        <w:t>，</w:t>
      </w:r>
      <w:r>
        <w:rPr>
          <w:rFonts w:hint="eastAsia" w:eastAsia="仿宋"/>
          <w:color w:val="000000"/>
          <w:sz w:val="32"/>
          <w:szCs w:val="32"/>
          <w:lang w:eastAsia="zh-CN"/>
        </w:rPr>
        <w:t>甲第巷西侧，</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5371.63平方米（约合8.06亩）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商业商务用地</w:t>
      </w:r>
      <w:r>
        <w:rPr>
          <w:rFonts w:hint="eastAsia" w:eastAsia="仿宋"/>
          <w:color w:val="000000"/>
          <w:sz w:val="32"/>
          <w:szCs w:val="32"/>
        </w:rPr>
        <w:t>。主要技术指标：容积率</w:t>
      </w:r>
      <w:r>
        <w:rPr>
          <w:rFonts w:hint="eastAsia" w:eastAsia="仿宋"/>
          <w:color w:val="000000"/>
          <w:sz w:val="32"/>
          <w:szCs w:val="32"/>
          <w:lang w:val="en-US" w:eastAsia="zh-CN"/>
        </w:rPr>
        <w:t>1.65以下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10</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val="zh-CN"/>
        </w:rPr>
        <w:t>商业商务及其配套设施</w:t>
      </w:r>
      <w:r>
        <w:rPr>
          <w:rFonts w:hint="eastAsia" w:eastAsia="仿宋"/>
          <w:color w:val="000000"/>
          <w:sz w:val="32"/>
          <w:szCs w:val="32"/>
          <w:lang w:val="en-US" w:eastAsia="zh-CN"/>
        </w:rPr>
        <w:t>。</w:t>
      </w:r>
    </w:p>
    <w:p>
      <w:pPr>
        <w:spacing w:line="580" w:lineRule="exact"/>
        <w:ind w:firstLine="642" w:firstLineChars="200"/>
        <w:rPr>
          <w:rFonts w:hint="eastAsia" w:ascii="仿宋_GB2312" w:hAnsi="仿宋_GB2312" w:eastAsia="仿宋_GB2312" w:cs="仿宋_GB2312"/>
          <w:color w:val="auto"/>
          <w:szCs w:val="32"/>
        </w:rPr>
      </w:pPr>
      <w:r>
        <w:rPr>
          <w:rFonts w:hint="eastAsia" w:eastAsia="楷体_GB2312"/>
          <w:b/>
          <w:sz w:val="32"/>
          <w:szCs w:val="32"/>
          <w:lang w:val="en-US" w:eastAsia="zh-CN"/>
        </w:rPr>
        <w:t>（四）</w:t>
      </w:r>
      <w:r>
        <w:rPr>
          <w:rFonts w:hint="eastAsia" w:ascii="楷体_GB2312" w:hAnsi="黑体" w:eastAsia="楷体_GB2312" w:cs="黑体"/>
          <w:b/>
          <w:sz w:val="32"/>
          <w:szCs w:val="32"/>
          <w:lang w:eastAsia="zh-CN"/>
        </w:rPr>
        <w:t>鲤2024-</w:t>
      </w:r>
      <w:r>
        <w:rPr>
          <w:rFonts w:hint="eastAsia" w:ascii="楷体_GB2312" w:hAnsi="黑体" w:eastAsia="楷体_GB2312" w:cs="黑体"/>
          <w:b/>
          <w:sz w:val="32"/>
          <w:szCs w:val="32"/>
          <w:lang w:val="en-US" w:eastAsia="zh-CN"/>
        </w:rPr>
        <w:t>21</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2025-26</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新门街北侧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34091.96平方米（约合51.14亩）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商业商务及其他商服用地</w:t>
      </w:r>
      <w:r>
        <w:rPr>
          <w:rFonts w:hint="eastAsia" w:eastAsia="仿宋"/>
          <w:color w:val="000000"/>
          <w:sz w:val="32"/>
          <w:szCs w:val="32"/>
        </w:rPr>
        <w:t>。主要技术指标：容积率</w:t>
      </w:r>
      <w:r>
        <w:rPr>
          <w:rFonts w:hint="eastAsia" w:eastAsia="仿宋"/>
          <w:color w:val="000000"/>
          <w:sz w:val="32"/>
          <w:szCs w:val="32"/>
          <w:lang w:val="en-US" w:eastAsia="zh-CN"/>
        </w:rPr>
        <w:t>1.26以下</w:t>
      </w:r>
      <w:r>
        <w:rPr>
          <w:rFonts w:hint="eastAsia" w:eastAsia="仿宋"/>
          <w:color w:val="000000"/>
          <w:sz w:val="32"/>
          <w:szCs w:val="32"/>
        </w:rPr>
        <w:t>，建筑密度</w:t>
      </w:r>
      <w:r>
        <w:rPr>
          <w:rFonts w:hint="eastAsia" w:eastAsia="仿宋"/>
          <w:color w:val="000000"/>
          <w:sz w:val="32"/>
          <w:szCs w:val="32"/>
          <w:lang w:val="en-US" w:eastAsia="zh-CN"/>
        </w:rPr>
        <w:t>42</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10</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val="zh-CN"/>
        </w:rPr>
        <w:t>商业商务、其他商服及其配套设施</w:t>
      </w:r>
      <w:r>
        <w:rPr>
          <w:rFonts w:hint="eastAsia" w:eastAsia="仿宋"/>
          <w:color w:val="000000"/>
          <w:sz w:val="32"/>
          <w:szCs w:val="32"/>
          <w:lang w:val="en-US" w:eastAsia="zh-CN"/>
        </w:rPr>
        <w:t>。</w:t>
      </w:r>
      <w:r>
        <w:rPr>
          <w:rFonts w:hint="eastAsia" w:ascii="仿宋" w:hAnsi="仿宋" w:eastAsia="仿宋" w:cs="仿宋"/>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lang w:val="en-US" w:eastAsia="zh-CN"/>
        </w:rPr>
      </w:pPr>
      <w:r>
        <w:rPr>
          <w:rFonts w:hint="eastAsia" w:ascii="仿宋_GB2312" w:hAnsi="仿宋_GB2312" w:eastAsia="仿宋_GB2312" w:cs="仿宋_GB2312"/>
          <w:color w:val="auto"/>
          <w:szCs w:val="32"/>
        </w:rPr>
        <w:t>（二）规划指标和相关要求</w:t>
      </w:r>
    </w:p>
    <w:p>
      <w:pPr>
        <w:spacing w:line="579" w:lineRule="exact"/>
        <w:ind w:firstLine="636" w:firstLineChars="199"/>
        <w:rPr>
          <w:rFonts w:hint="default" w:eastAsia="仿宋"/>
          <w:color w:val="auto"/>
          <w:sz w:val="32"/>
          <w:szCs w:val="32"/>
          <w:lang w:val="en-US" w:eastAsia="zh-CN"/>
        </w:rPr>
      </w:pPr>
      <w:r>
        <w:rPr>
          <w:rFonts w:eastAsia="仿宋_GB2312"/>
          <w:sz w:val="32"/>
          <w:szCs w:val="32"/>
        </w:rPr>
        <w:t>1</w:t>
      </w:r>
      <w:r>
        <w:rPr>
          <w:rFonts w:hint="eastAsia" w:eastAsia="仿宋_GB2312"/>
          <w:sz w:val="32"/>
          <w:szCs w:val="32"/>
        </w:rPr>
        <w:t>．</w:t>
      </w:r>
      <w:r>
        <w:rPr>
          <w:rFonts w:hint="eastAsia" w:eastAsia="仿宋"/>
          <w:color w:val="auto"/>
          <w:sz w:val="32"/>
          <w:szCs w:val="32"/>
          <w:lang w:eastAsia="zh-CN"/>
        </w:rPr>
        <w:t>鲤</w:t>
      </w:r>
      <w:r>
        <w:rPr>
          <w:rFonts w:hint="eastAsia" w:eastAsia="仿宋"/>
          <w:color w:val="auto"/>
          <w:sz w:val="32"/>
          <w:szCs w:val="32"/>
          <w:lang w:val="en-US" w:eastAsia="zh-CN"/>
        </w:rPr>
        <w:t>2024-15号地块内保留建筑物计容建筑面积2861.96平方米、鲤2024-16号地块内保留建筑物计容建筑面积3569.88平方米、</w:t>
      </w:r>
      <w:r>
        <w:rPr>
          <w:rFonts w:hint="eastAsia" w:eastAsia="仿宋"/>
          <w:color w:val="auto"/>
          <w:sz w:val="32"/>
          <w:szCs w:val="32"/>
          <w:lang w:eastAsia="zh-CN"/>
        </w:rPr>
        <w:t>鲤</w:t>
      </w:r>
      <w:r>
        <w:rPr>
          <w:rFonts w:hint="eastAsia" w:eastAsia="仿宋"/>
          <w:color w:val="auto"/>
          <w:sz w:val="32"/>
          <w:szCs w:val="32"/>
          <w:lang w:val="en-US" w:eastAsia="zh-CN"/>
        </w:rPr>
        <w:t>2024-20号地块内保留建筑物计容建筑面积11907.51平方米、鲤2024-21号地块内保留建筑物计容建筑面积32470.19平方米，</w:t>
      </w:r>
      <w:r>
        <w:rPr>
          <w:rFonts w:hint="eastAsia" w:ascii="仿宋" w:hAnsi="仿宋" w:eastAsia="仿宋" w:cs="仿宋"/>
          <w:color w:val="auto"/>
          <w:sz w:val="32"/>
          <w:szCs w:val="32"/>
          <w:lang w:eastAsia="zh-CN"/>
        </w:rPr>
        <w:t>上述</w:t>
      </w:r>
      <w:r>
        <w:rPr>
          <w:rFonts w:eastAsia="仿宋"/>
          <w:color w:val="auto"/>
          <w:sz w:val="32"/>
          <w:szCs w:val="32"/>
        </w:rPr>
        <w:t>地块</w:t>
      </w:r>
      <w:r>
        <w:rPr>
          <w:rFonts w:hint="eastAsia" w:eastAsia="仿宋"/>
          <w:color w:val="auto"/>
          <w:sz w:val="32"/>
          <w:szCs w:val="32"/>
          <w:lang w:eastAsia="zh-CN"/>
        </w:rPr>
        <w:t>采取带建筑物方式拍卖出让。</w:t>
      </w:r>
    </w:p>
    <w:p>
      <w:pPr>
        <w:spacing w:line="579" w:lineRule="exact"/>
        <w:ind w:firstLine="636" w:firstLineChars="199"/>
        <w:rPr>
          <w:rFonts w:hint="eastAsia" w:eastAsia="仿宋"/>
          <w:color w:val="000000"/>
          <w:sz w:val="32"/>
          <w:szCs w:val="32"/>
          <w:lang w:eastAsia="zh-CN"/>
        </w:rPr>
      </w:pPr>
      <w:r>
        <w:rPr>
          <w:rFonts w:hint="eastAsia" w:eastAsia="仿宋_GB2312"/>
          <w:sz w:val="32"/>
          <w:szCs w:val="32"/>
          <w:lang w:val="en-US" w:eastAsia="zh-CN"/>
        </w:rPr>
        <w:t>2</w:t>
      </w:r>
      <w:r>
        <w:rPr>
          <w:rFonts w:hint="eastAsia" w:eastAsia="仿宋_GB2312"/>
          <w:sz w:val="32"/>
          <w:szCs w:val="32"/>
        </w:rPr>
        <w:t>．</w:t>
      </w:r>
      <w:r>
        <w:rPr>
          <w:rFonts w:hint="eastAsia" w:eastAsia="仿宋_GB2312"/>
          <w:sz w:val="32"/>
          <w:szCs w:val="32"/>
          <w:lang w:eastAsia="zh-CN"/>
        </w:rPr>
        <w:t>鲤</w:t>
      </w:r>
      <w:r>
        <w:rPr>
          <w:rFonts w:hint="eastAsia" w:eastAsia="仿宋_GB2312"/>
          <w:sz w:val="32"/>
          <w:szCs w:val="32"/>
          <w:lang w:val="en-US" w:eastAsia="zh-CN"/>
        </w:rPr>
        <w:t>2024-20号地块商业（旅馆）占比50%，商务金融占比30%、商业（餐饮）占比10%、商业（零售商业）占比10%，</w:t>
      </w:r>
      <w:r>
        <w:rPr>
          <w:rFonts w:hint="eastAsia" w:eastAsia="仿宋_GB2312"/>
          <w:sz w:val="32"/>
          <w:szCs w:val="32"/>
          <w:lang w:eastAsia="zh-CN"/>
        </w:rPr>
        <w:t>鲤</w:t>
      </w:r>
      <w:r>
        <w:rPr>
          <w:rFonts w:hint="eastAsia" w:eastAsia="仿宋_GB2312"/>
          <w:sz w:val="32"/>
          <w:szCs w:val="32"/>
          <w:lang w:val="en-US" w:eastAsia="zh-CN"/>
        </w:rPr>
        <w:t>2024-21号地块商务金融占比50%、商业（零售商业）占比20%、商业（餐饮）占比15%、商业（旅馆）占比10%、其他商业服务业占比5%</w:t>
      </w:r>
      <w:r>
        <w:rPr>
          <w:rFonts w:hint="eastAsia"/>
          <w:sz w:val="32"/>
          <w:szCs w:val="32"/>
          <w:lang w:val="en-US" w:eastAsia="zh-CN"/>
        </w:rPr>
        <w:t>。</w:t>
      </w:r>
      <w:r>
        <w:rPr>
          <w:rFonts w:hint="eastAsia" w:eastAsia="仿宋"/>
          <w:color w:val="auto"/>
          <w:sz w:val="32"/>
          <w:szCs w:val="32"/>
          <w:lang w:val="en-US" w:eastAsia="zh-CN"/>
        </w:rPr>
        <w:t>鲤2024-15号、鲤2024-16号、鲤2024-20号、鲤2024-21号地块</w:t>
      </w:r>
      <w:r>
        <w:rPr>
          <w:rFonts w:hint="eastAsia" w:eastAsia="仿宋"/>
          <w:color w:val="000000"/>
          <w:sz w:val="32"/>
          <w:szCs w:val="32"/>
          <w:lang w:val="en-US" w:eastAsia="zh-CN"/>
        </w:rPr>
        <w:t>建筑</w:t>
      </w:r>
      <w:r>
        <w:rPr>
          <w:rFonts w:hint="eastAsia" w:eastAsia="仿宋_GB2312"/>
          <w:sz w:val="32"/>
          <w:szCs w:val="32"/>
        </w:rPr>
        <w:t>不可分割销售、不可分割转让。</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
          <w:color w:val="auto"/>
          <w:szCs w:val="32"/>
        </w:rPr>
      </w:pPr>
      <w:r>
        <w:rPr>
          <w:rFonts w:ascii="Times New Roman" w:eastAsia="仿宋"/>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15</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肆佰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4</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16</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肆佰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4</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20</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壹仟</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21</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肆仟</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40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27</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17</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13</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000000" w:themeColor="text1"/>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28</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29</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15</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壹</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捌</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18</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16</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貳</w:t>
      </w:r>
      <w:r>
        <w:rPr>
          <w:rFonts w:hint="eastAsia" w:ascii="仿宋_GB2312" w:hAnsi="仿宋_GB2312" w:eastAsia="仿宋_GB2312" w:cs="仿宋_GB2312"/>
          <w:color w:val="auto"/>
          <w:szCs w:val="32"/>
        </w:rPr>
        <w:t>仟万元整（</w:t>
      </w:r>
      <w:r>
        <w:rPr>
          <w:rFonts w:hint="eastAsia" w:hAnsi="仿宋_GB2312" w:cs="仿宋_GB2312"/>
          <w:color w:val="auto"/>
          <w:szCs w:val="32"/>
          <w:lang w:val="en-US" w:eastAsia="zh-CN"/>
        </w:rPr>
        <w:t>20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20</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肆</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玖佰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49</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21</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壹亿玖仟壹佰玖拾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191</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9</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rPr>
      </w:pPr>
      <w:r>
        <w:rPr>
          <w:rFonts w:hint="eastAsia" w:eastAsia="仿宋"/>
          <w:color w:val="000000"/>
          <w:sz w:val="32"/>
          <w:szCs w:val="32"/>
        </w:rPr>
        <w:t>溢价部分全部归属地价。泉州市产权交易中心以出让地块</w:t>
      </w:r>
      <w:r>
        <w:rPr>
          <w:rFonts w:hint="eastAsia" w:eastAsia="仿宋"/>
          <w:color w:val="000000"/>
          <w:sz w:val="32"/>
          <w:szCs w:val="32"/>
          <w:lang w:eastAsia="zh-CN"/>
        </w:rPr>
        <w:t>拍卖</w:t>
      </w:r>
      <w:r>
        <w:rPr>
          <w:rFonts w:hint="eastAsia" w:eastAsia="仿宋"/>
          <w:color w:val="000000"/>
          <w:sz w:val="32"/>
          <w:szCs w:val="32"/>
        </w:rPr>
        <w:t>起始价中地上建筑物</w:t>
      </w:r>
      <w:r>
        <w:rPr>
          <w:rFonts w:hint="eastAsia" w:eastAsia="仿宋"/>
          <w:color w:val="000000"/>
          <w:sz w:val="32"/>
          <w:szCs w:val="32"/>
          <w:lang w:eastAsia="zh-CN"/>
        </w:rPr>
        <w:t>和附着物</w:t>
      </w:r>
      <w:r>
        <w:rPr>
          <w:rFonts w:hint="eastAsia" w:eastAsia="仿宋"/>
          <w:color w:val="000000"/>
          <w:sz w:val="32"/>
          <w:szCs w:val="32"/>
        </w:rPr>
        <w:t>价格为基数，按照交易佣金收费标准向竞得人收取交易佣金。</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13</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79" w:lineRule="exact"/>
        <w:ind w:firstLine="640" w:firstLineChars="200"/>
        <w:rPr>
          <w:rFonts w:hint="eastAsia" w:eastAsia="仿宋_GB2312"/>
          <w:sz w:val="32"/>
          <w:szCs w:val="32"/>
        </w:rPr>
      </w:pPr>
      <w:bookmarkStart w:id="0" w:name="_Hlk25847200"/>
      <w:r>
        <w:rPr>
          <w:rFonts w:hint="eastAsia" w:eastAsia="仿宋_GB2312"/>
          <w:sz w:val="32"/>
          <w:szCs w:val="32"/>
        </w:rPr>
        <w:t>上述</w:t>
      </w:r>
      <w:r>
        <w:rPr>
          <w:rFonts w:eastAsia="仿宋_GB2312"/>
          <w:sz w:val="32"/>
          <w:szCs w:val="32"/>
        </w:rPr>
        <w:t>地块竞买保证金转作受让地块的定金，抵作土地出让价款，余款自竞得之日起</w:t>
      </w:r>
      <w:r>
        <w:rPr>
          <w:rFonts w:hint="eastAsia" w:eastAsia="仿宋_GB2312"/>
          <w:sz w:val="32"/>
          <w:szCs w:val="32"/>
          <w:lang w:val="en-US" w:eastAsia="zh-CN"/>
        </w:rPr>
        <w:t>1</w:t>
      </w:r>
      <w:r>
        <w:rPr>
          <w:rFonts w:eastAsia="仿宋_GB2312"/>
          <w:sz w:val="32"/>
          <w:szCs w:val="32"/>
        </w:rPr>
        <w:t>个月内</w:t>
      </w:r>
      <w:r>
        <w:rPr>
          <w:rFonts w:hint="eastAsia" w:eastAsia="仿宋_GB2312"/>
          <w:sz w:val="32"/>
          <w:szCs w:val="32"/>
        </w:rPr>
        <w:t>交</w:t>
      </w:r>
      <w:r>
        <w:rPr>
          <w:rFonts w:eastAsia="仿宋_GB2312"/>
          <w:sz w:val="32"/>
          <w:szCs w:val="32"/>
        </w:rPr>
        <w:t>清</w:t>
      </w:r>
      <w:r>
        <w:rPr>
          <w:rFonts w:hint="eastAsia" w:eastAsia="仿宋_GB2312"/>
          <w:sz w:val="32"/>
          <w:szCs w:val="32"/>
        </w:rPr>
        <w:t>。</w:t>
      </w:r>
      <w:bookmarkStart w:id="5" w:name="_GoBack"/>
      <w:bookmarkEnd w:id="5"/>
    </w:p>
    <w:bookmarkEnd w:id="0"/>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bidi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未能按照合同约定日期或同意延建所另行约定日期开工建设但不超过一年的，每延期一日，应向出让人支付相当于国有建设用地使用权出让价款总额</w:t>
      </w:r>
      <w:bookmarkStart w:id="1" w:name="KG_YQ_WYJ_BL"/>
      <w:r>
        <w:rPr>
          <w:rFonts w:hint="eastAsia" w:ascii="Times New Roman" w:hAnsi="Times New Roman" w:eastAsia="仿宋_GB2312"/>
          <w:color w:val="auto"/>
          <w:sz w:val="32"/>
          <w:szCs w:val="32"/>
          <w:u w:val="none"/>
        </w:rPr>
        <w:t xml:space="preserve">1 </w:t>
      </w:r>
      <w:bookmarkEnd w:id="1"/>
      <w:r>
        <w:rPr>
          <w:rFonts w:ascii="Times New Roman" w:hAnsi="Times New Roman" w:eastAsia="仿宋_GB2312"/>
          <w:color w:val="auto"/>
          <w:sz w:val="32"/>
          <w:szCs w:val="32"/>
        </w:rPr>
        <w:t>‰的违约金，出让人有权要求</w:t>
      </w:r>
      <w:r>
        <w:rPr>
          <w:rFonts w:eastAsia="仿宋_GB2312"/>
          <w:color w:val="auto"/>
          <w:sz w:val="32"/>
          <w:szCs w:val="32"/>
        </w:rPr>
        <w:t>竞得人</w:t>
      </w:r>
      <w:r>
        <w:rPr>
          <w:rFonts w:ascii="Times New Roman" w:hAnsi="Times New Roman" w:eastAsia="仿宋_GB2312"/>
          <w:color w:val="auto"/>
          <w:sz w:val="32"/>
          <w:szCs w:val="32"/>
        </w:rPr>
        <w:t>继续履约。</w:t>
      </w:r>
    </w:p>
    <w:p>
      <w:pPr>
        <w:spacing w:line="579" w:lineRule="exact"/>
        <w:ind w:firstLine="636" w:firstLineChars="199"/>
        <w:rPr>
          <w:rFonts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未能按照合同约定日期或同意延建所另行约定日期竣工的，每延期一日，应向出让人支付相当于未竣工计容建筑面积对应国有建设用地使用权出让价款</w:t>
      </w:r>
      <w:bookmarkStart w:id="2" w:name="JG_YQ_WYJ_BL"/>
      <w:r>
        <w:rPr>
          <w:rFonts w:hint="eastAsia" w:ascii="Times New Roman" w:hAnsi="Times New Roman" w:eastAsia="仿宋_GB2312"/>
          <w:color w:val="auto"/>
          <w:sz w:val="32"/>
          <w:szCs w:val="32"/>
          <w:u w:val="none"/>
        </w:rPr>
        <w:t xml:space="preserve">1 </w:t>
      </w:r>
      <w:bookmarkEnd w:id="2"/>
      <w:r>
        <w:rPr>
          <w:rFonts w:ascii="Times New Roman" w:hAnsi="Times New Roman" w:eastAsia="仿宋_GB2312"/>
          <w:color w:val="auto"/>
          <w:sz w:val="32"/>
          <w:szCs w:val="32"/>
        </w:rPr>
        <w:t>‰的违约金。</w:t>
      </w:r>
    </w:p>
    <w:p>
      <w:pPr>
        <w:spacing w:line="560" w:lineRule="exact"/>
        <w:ind w:firstLine="640" w:firstLineChars="200"/>
        <w:rPr>
          <w:rFonts w:hint="eastAsia" w:ascii="仿宋_GB2312" w:hAnsi="仿宋_GB2312" w:eastAsia="仿宋_GB2312" w:cs="仿宋_GB2312"/>
          <w:color w:val="auto"/>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3" w:name="_Hlk85133807"/>
      <w:r>
        <w:rPr>
          <w:rFonts w:hint="eastAsia" w:ascii="仿宋_GB2312" w:hAnsi="仿宋_GB2312" w:eastAsia="仿宋_GB2312" w:cs="仿宋_GB2312"/>
          <w:color w:val="auto"/>
          <w:szCs w:val="32"/>
        </w:rPr>
        <w:t>竞买人</w:t>
      </w:r>
      <w:bookmarkEnd w:id="3"/>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4" w:name="OLE_LINK2"/>
      <w:r>
        <w:rPr>
          <w:rFonts w:hint="eastAsia" w:ascii="仿宋_GB2312" w:hAnsi="仿宋_GB2312" w:eastAsia="仿宋_GB2312" w:cs="仿宋_GB2312"/>
          <w:color w:val="auto"/>
          <w:szCs w:val="32"/>
        </w:rPr>
        <w:t>．</w:t>
      </w:r>
      <w:bookmarkEnd w:id="4"/>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24</w:t>
      </w:r>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5D4B3"/>
    <w:multiLevelType w:val="singleLevel"/>
    <w:tmpl w:val="F7E5D4B3"/>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9D83DD"/>
    <w:rsid w:val="3DB14890"/>
    <w:rsid w:val="3E8C3A26"/>
    <w:rsid w:val="3F5FF36E"/>
    <w:rsid w:val="3F73645C"/>
    <w:rsid w:val="3FB73CFF"/>
    <w:rsid w:val="3FFCE01F"/>
    <w:rsid w:val="3FFF14EC"/>
    <w:rsid w:val="412A0477"/>
    <w:rsid w:val="42041D48"/>
    <w:rsid w:val="45D07A7B"/>
    <w:rsid w:val="45FB48A4"/>
    <w:rsid w:val="48DB5365"/>
    <w:rsid w:val="48E2729B"/>
    <w:rsid w:val="4BDF7549"/>
    <w:rsid w:val="4DF37842"/>
    <w:rsid w:val="4F46621E"/>
    <w:rsid w:val="4FCE6520"/>
    <w:rsid w:val="4FEDCE04"/>
    <w:rsid w:val="520F40B5"/>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3D038A"/>
    <w:rsid w:val="6C5E3ED7"/>
    <w:rsid w:val="6D601559"/>
    <w:rsid w:val="6DC95D5B"/>
    <w:rsid w:val="6DCF1B23"/>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72C6592"/>
    <w:rsid w:val="7BFD8D70"/>
    <w:rsid w:val="7C614DBC"/>
    <w:rsid w:val="7CED3003"/>
    <w:rsid w:val="7CFE5411"/>
    <w:rsid w:val="7DC16531"/>
    <w:rsid w:val="7DFD2408"/>
    <w:rsid w:val="7EAD2CF4"/>
    <w:rsid w:val="7FAFA16A"/>
    <w:rsid w:val="AB37B5F2"/>
    <w:rsid w:val="AFFF219C"/>
    <w:rsid w:val="B6F5B665"/>
    <w:rsid w:val="B7DB20F6"/>
    <w:rsid w:val="BCBFEF2C"/>
    <w:rsid w:val="BD3B2D74"/>
    <w:rsid w:val="BEE466A8"/>
    <w:rsid w:val="BFF9E321"/>
    <w:rsid w:val="C77BCFBB"/>
    <w:rsid w:val="CDDBF24C"/>
    <w:rsid w:val="D7BBABC2"/>
    <w:rsid w:val="DD7C8DA1"/>
    <w:rsid w:val="DF7D7243"/>
    <w:rsid w:val="E73B06B3"/>
    <w:rsid w:val="EEF264BC"/>
    <w:rsid w:val="EF6301F5"/>
    <w:rsid w:val="EF9DD4E3"/>
    <w:rsid w:val="F33752BE"/>
    <w:rsid w:val="F6EBC90C"/>
    <w:rsid w:val="F9D441FD"/>
    <w:rsid w:val="FBB3131E"/>
    <w:rsid w:val="FBBFE06A"/>
    <w:rsid w:val="FD9FE1A1"/>
    <w:rsid w:val="FDC68BD7"/>
    <w:rsid w:val="FED7EB8E"/>
    <w:rsid w:val="FEEFBEE0"/>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12</Pages>
  <Words>6853</Words>
  <Characters>7287</Characters>
  <Lines>45</Lines>
  <Paragraphs>12</Paragraphs>
  <TotalTime>0</TotalTime>
  <ScaleCrop>false</ScaleCrop>
  <LinksUpToDate>false</LinksUpToDate>
  <CharactersWithSpaces>7315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2019-12-21T15:04:00Z</dcterms:created>
  <dc:creator>未羽</dc:creator>
  <cp:lastModifiedBy>市资源规划局</cp:lastModifiedBy>
  <cp:lastPrinted>2021-12-10T23:02:00Z</cp:lastPrinted>
  <dcterms:modified xsi:type="dcterms:W3CDTF">2025-10-23T17:10:28Z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