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lang w:eastAsia="zh-CN"/>
        </w:rPr>
        <w:t>丰</w:t>
      </w:r>
      <w:r>
        <w:rPr>
          <w:rFonts w:hint="eastAsia" w:ascii="Times New Roman" w:eastAsia="方正小标宋简体"/>
          <w:bCs/>
          <w:color w:val="auto"/>
          <w:sz w:val="44"/>
          <w:szCs w:val="44"/>
        </w:rPr>
        <w:t>202</w:t>
      </w:r>
      <w:r>
        <w:rPr>
          <w:rFonts w:hint="eastAsia" w:ascii="Times New Roman" w:eastAsia="方正小标宋简体"/>
          <w:bCs/>
          <w:color w:val="auto"/>
          <w:sz w:val="44"/>
          <w:szCs w:val="44"/>
          <w:lang w:val="en-US" w:eastAsia="zh-CN"/>
        </w:rPr>
        <w:t>6</w:t>
      </w:r>
      <w:r>
        <w:rPr>
          <w:rFonts w:hint="eastAsia" w:ascii="Times New Roman" w:eastAsia="方正小标宋简体"/>
          <w:bCs/>
          <w:color w:val="auto"/>
          <w:sz w:val="44"/>
          <w:szCs w:val="44"/>
        </w:rPr>
        <w:t>-</w:t>
      </w:r>
      <w:r>
        <w:rPr>
          <w:rFonts w:hint="eastAsia" w:ascii="Times New Roman" w:eastAsia="方正小标宋简体"/>
          <w:bCs/>
          <w:color w:val="auto"/>
          <w:sz w:val="44"/>
          <w:szCs w:val="44"/>
          <w:lang w:val="en-US" w:eastAsia="zh-CN"/>
        </w:rPr>
        <w:t>5</w:t>
      </w:r>
      <w:r>
        <w:rPr>
          <w:rFonts w:hint="eastAsia" w:ascii="Times New Roman" w:eastAsia="方正小标宋简体"/>
          <w:bCs/>
          <w:color w:val="auto"/>
          <w:sz w:val="44"/>
          <w:szCs w:val="44"/>
        </w:rPr>
        <w:t>号</w:t>
      </w:r>
      <w:r>
        <w:rPr>
          <w:rFonts w:hint="eastAsia" w:ascii="Times New Roman" w:eastAsia="方正小标宋简体"/>
          <w:bCs/>
          <w:color w:val="auto"/>
          <w:sz w:val="44"/>
          <w:szCs w:val="44"/>
          <w:lang w:eastAsia="zh-CN"/>
        </w:rPr>
        <w:t>等</w:t>
      </w:r>
      <w:r>
        <w:rPr>
          <w:rFonts w:ascii="Times New Roman" w:eastAsia="方正小标宋简体"/>
          <w:bCs/>
          <w:color w:val="auto"/>
          <w:sz w:val="44"/>
          <w:szCs w:val="44"/>
        </w:rPr>
        <w:t>地块国有建设用地使用权拍卖</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hAnsi="仿宋_GB2312" w:cs="仿宋_GB2312"/>
          <w:color w:val="auto"/>
          <w:szCs w:val="32"/>
        </w:rPr>
      </w:pPr>
      <w:r>
        <w:rPr>
          <w:rFonts w:hint="eastAsia" w:hAnsi="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hAnsi="仿宋_GB2312" w:cs="仿宋_GB2312"/>
          <w:color w:val="auto"/>
          <w:szCs w:val="32"/>
          <w:lang w:eastAsia="zh-CN"/>
        </w:rPr>
        <w:t>丰</w:t>
      </w:r>
      <w:r>
        <w:rPr>
          <w:rFonts w:hint="eastAsia" w:hAnsi="仿宋_GB2312" w:cs="仿宋_GB2312"/>
          <w:color w:val="auto"/>
          <w:szCs w:val="32"/>
          <w:lang w:val="en-US" w:eastAsia="zh-CN"/>
        </w:rPr>
        <w:t>2026-5</w:t>
      </w:r>
      <w:r>
        <w:rPr>
          <w:rFonts w:hint="eastAsia" w:hAnsi="仿宋_GB2312" w:cs="仿宋_GB2312"/>
          <w:color w:val="auto"/>
          <w:szCs w:val="32"/>
        </w:rPr>
        <w:t>号</w:t>
      </w:r>
      <w:r>
        <w:rPr>
          <w:rFonts w:hint="eastAsia" w:hAnsi="仿宋_GB2312" w:cs="仿宋_GB2312"/>
          <w:color w:val="auto"/>
          <w:szCs w:val="32"/>
          <w:lang w:eastAsia="zh-CN"/>
        </w:rPr>
        <w:t>等</w:t>
      </w:r>
      <w:r>
        <w:rPr>
          <w:rFonts w:hint="eastAsia" w:hAnsi="仿宋_GB2312" w:cs="仿宋_GB2312"/>
          <w:color w:val="auto"/>
          <w:szCs w:val="32"/>
        </w:rPr>
        <w:t>地块国有建设用地使用权。</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二、拍卖出让活动时间、地点</w:t>
      </w:r>
    </w:p>
    <w:p>
      <w:pPr>
        <w:spacing w:line="520" w:lineRule="exact"/>
        <w:ind w:firstLine="640" w:firstLineChars="200"/>
        <w:rPr>
          <w:rFonts w:hint="eastAsia" w:hAnsi="仿宋_GB2312" w:cs="仿宋_GB2312"/>
          <w:color w:val="auto"/>
          <w:szCs w:val="32"/>
        </w:rPr>
      </w:pPr>
      <w:r>
        <w:rPr>
          <w:rFonts w:hint="eastAsia" w:hAnsi="仿宋_GB2312" w:cs="仿宋_GB2312"/>
          <w:color w:val="auto"/>
          <w:szCs w:val="32"/>
        </w:rPr>
        <w:t>拍卖时间：2026年</w:t>
      </w:r>
      <w:r>
        <w:rPr>
          <w:rFonts w:hint="eastAsia" w:hAnsi="仿宋_GB2312" w:cs="仿宋_GB2312"/>
          <w:color w:val="auto"/>
          <w:szCs w:val="32"/>
          <w:lang w:val="en-US" w:eastAsia="zh-CN"/>
        </w:rPr>
        <w:t>5</w:t>
      </w:r>
      <w:r>
        <w:rPr>
          <w:rFonts w:hint="eastAsia" w:hAnsi="仿宋_GB2312" w:cs="仿宋_GB2312"/>
          <w:color w:val="auto"/>
          <w:szCs w:val="32"/>
        </w:rPr>
        <w:t>月</w:t>
      </w:r>
      <w:r>
        <w:rPr>
          <w:rFonts w:hint="eastAsia" w:hAnsi="仿宋_GB2312" w:cs="仿宋_GB2312"/>
          <w:color w:val="auto"/>
          <w:szCs w:val="32"/>
          <w:lang w:val="en-US" w:eastAsia="zh-CN"/>
        </w:rPr>
        <w:t>21</w:t>
      </w:r>
      <w:r>
        <w:rPr>
          <w:rFonts w:hint="eastAsia" w:hAnsi="仿宋_GB2312" w:cs="仿宋_GB2312"/>
          <w:color w:val="auto"/>
          <w:szCs w:val="32"/>
        </w:rPr>
        <w:t>日9：00。</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拍卖地点：泉州市政务服务中心（东海大厦）A幢442室（地址：泉州市丰泽区海星街100号）。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三、本次国有建设用地使用权拍卖出让按照价高者得的原则确定竞得人，不设保留价。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四、出让地块的基本情况、规划指标和相关要求：</w:t>
      </w:r>
    </w:p>
    <w:p>
      <w:pPr>
        <w:spacing w:line="560" w:lineRule="exact"/>
        <w:ind w:firstLine="640" w:firstLineChars="200"/>
        <w:rPr>
          <w:rFonts w:hAnsi="仿宋_GB2312" w:cs="仿宋_GB2312"/>
          <w:color w:val="auto"/>
          <w:szCs w:val="32"/>
        </w:rPr>
      </w:pPr>
      <w:r>
        <w:rPr>
          <w:rFonts w:hint="eastAsia" w:hAnsi="仿宋_GB2312" w:cs="仿宋_GB2312"/>
          <w:color w:val="auto"/>
          <w:szCs w:val="32"/>
        </w:rPr>
        <w:t>（一）地块的基本情况</w:t>
      </w:r>
    </w:p>
    <w:p>
      <w:pPr>
        <w:numPr>
          <w:ilvl w:val="0"/>
          <w:numId w:val="0"/>
        </w:numPr>
        <w:spacing w:line="580" w:lineRule="exact"/>
        <w:ind w:firstLine="643" w:firstLineChars="200"/>
        <w:rPr>
          <w:rFonts w:eastAsia="仿宋_GB2312"/>
          <w:sz w:val="32"/>
          <w:szCs w:val="32"/>
        </w:rPr>
      </w:pPr>
      <w:r>
        <w:rPr>
          <w:rFonts w:hint="eastAsia" w:hAnsi="仿宋_GB2312" w:cs="仿宋_GB2312"/>
          <w:b/>
          <w:szCs w:val="32"/>
          <w:lang w:val="en-US" w:eastAsia="zh-CN"/>
        </w:rPr>
        <w:t>1.</w:t>
      </w:r>
      <w:r>
        <w:rPr>
          <w:rFonts w:hint="eastAsia" w:hAnsi="仿宋_GB2312" w:cs="仿宋_GB2312"/>
          <w:b/>
          <w:szCs w:val="32"/>
          <w:lang w:eastAsia="zh-CN"/>
        </w:rPr>
        <w:t>丰</w:t>
      </w:r>
      <w:r>
        <w:rPr>
          <w:rFonts w:hint="eastAsia" w:hAnsi="仿宋_GB2312" w:cs="仿宋_GB2312"/>
          <w:b/>
          <w:szCs w:val="32"/>
          <w:lang w:val="en-US" w:eastAsia="zh-CN"/>
        </w:rPr>
        <w:t>2026-5号地块</w:t>
      </w:r>
      <w:r>
        <w:rPr>
          <w:rFonts w:hint="eastAsia" w:hAnsi="仿宋_GB2312" w:cs="仿宋_GB2312"/>
          <w:b/>
          <w:szCs w:val="32"/>
        </w:rPr>
        <w:t>。</w:t>
      </w:r>
      <w:r>
        <w:rPr>
          <w:rFonts w:eastAsia="仿宋_GB2312"/>
          <w:color w:val="auto"/>
          <w:sz w:val="32"/>
          <w:szCs w:val="32"/>
        </w:rPr>
        <w:t>该宗地即</w:t>
      </w:r>
      <w:r>
        <w:rPr>
          <w:rFonts w:hint="eastAsia" w:eastAsia="仿宋_GB2312"/>
          <w:color w:val="auto"/>
          <w:sz w:val="32"/>
          <w:szCs w:val="32"/>
          <w:lang w:val="en-US" w:eastAsia="zh-CN"/>
        </w:rPr>
        <w:t>2026-FZ08</w:t>
      </w:r>
      <w:r>
        <w:rPr>
          <w:rFonts w:eastAsia="仿宋_GB2312"/>
          <w:sz w:val="32"/>
          <w:szCs w:val="32"/>
        </w:rPr>
        <w:t>号储备用地，位于</w:t>
      </w:r>
      <w:r>
        <w:rPr>
          <w:rFonts w:hint="eastAsia" w:eastAsia="仿宋_GB2312"/>
          <w:color w:val="auto"/>
          <w:sz w:val="32"/>
          <w:szCs w:val="32"/>
        </w:rPr>
        <w:t>丰泽区东海中央活力区海丝大街北侧、经十二路东侧、艺术路西侧、后厝街南侧</w:t>
      </w:r>
      <w:r>
        <w:rPr>
          <w:rFonts w:hint="eastAsia" w:eastAsia="仿宋_GB2312"/>
          <w:sz w:val="32"/>
          <w:szCs w:val="32"/>
        </w:rPr>
        <w:t>，</w:t>
      </w:r>
      <w:r>
        <w:rPr>
          <w:rFonts w:eastAsia="仿宋_GB2312"/>
          <w:sz w:val="32"/>
          <w:szCs w:val="32"/>
        </w:rPr>
        <w:t>土地面积</w:t>
      </w:r>
      <w:r>
        <w:rPr>
          <w:rFonts w:hint="eastAsia" w:eastAsia="仿宋_GB2312"/>
          <w:sz w:val="32"/>
          <w:szCs w:val="32"/>
        </w:rPr>
        <w:t>42510平方米（约63.76亩）</w:t>
      </w:r>
      <w:r>
        <w:rPr>
          <w:rFonts w:hint="eastAsia" w:eastAsia="仿宋_GB2312"/>
          <w:sz w:val="32"/>
          <w:szCs w:val="32"/>
          <w:lang w:eastAsia="zh-CN"/>
        </w:rPr>
        <w:t>，</w:t>
      </w:r>
      <w:r>
        <w:rPr>
          <w:rFonts w:hint="eastAsia" w:eastAsia="仿宋_GB2312"/>
          <w:sz w:val="32"/>
          <w:szCs w:val="32"/>
        </w:rPr>
        <w:t>其中东侧用地16879.1平方米、西侧用地24510.11平方米，道路用地1120.85平方米（不计入用地指标计算基数）</w:t>
      </w:r>
      <w:r>
        <w:rPr>
          <w:rFonts w:eastAsia="仿宋_GB2312"/>
          <w:bCs/>
          <w:color w:val="000000"/>
          <w:sz w:val="32"/>
          <w:szCs w:val="32"/>
          <w:lang w:val="zh-CN"/>
        </w:rPr>
        <w:t>。</w:t>
      </w:r>
      <w:r>
        <w:rPr>
          <w:rFonts w:eastAsia="仿宋_GB2312"/>
          <w:sz w:val="32"/>
          <w:szCs w:val="32"/>
        </w:rPr>
        <w:t>规划用途为</w:t>
      </w:r>
      <w:r>
        <w:rPr>
          <w:rFonts w:hint="eastAsia" w:eastAsia="仿宋_GB2312"/>
          <w:sz w:val="32"/>
          <w:szCs w:val="32"/>
          <w:lang w:eastAsia="zh-CN"/>
        </w:rPr>
        <w:t>商业、商务金融用地</w:t>
      </w:r>
      <w:r>
        <w:rPr>
          <w:rFonts w:eastAsia="仿宋_GB2312"/>
          <w:bCs/>
          <w:color w:val="000000"/>
          <w:sz w:val="32"/>
          <w:szCs w:val="32"/>
          <w:lang w:val="zh-CN"/>
        </w:rPr>
        <w:t>。</w:t>
      </w:r>
      <w:r>
        <w:rPr>
          <w:rFonts w:eastAsia="仿宋_GB2312"/>
          <w:sz w:val="32"/>
          <w:szCs w:val="32"/>
        </w:rPr>
        <w:t>主要技术指标为：</w:t>
      </w:r>
      <w:r>
        <w:rPr>
          <w:rFonts w:eastAsia="仿宋_GB2312"/>
          <w:color w:val="auto"/>
          <w:sz w:val="32"/>
          <w:szCs w:val="32"/>
        </w:rPr>
        <w:t>容积率</w:t>
      </w:r>
      <w:r>
        <w:rPr>
          <w:rFonts w:hint="eastAsia" w:eastAsia="仿宋_GB2312"/>
          <w:color w:val="auto"/>
          <w:sz w:val="32"/>
          <w:szCs w:val="32"/>
          <w:lang w:val="en-US" w:eastAsia="zh-CN"/>
        </w:rPr>
        <w:t>6.0</w:t>
      </w:r>
      <w:r>
        <w:rPr>
          <w:rFonts w:eastAsia="仿宋_GB2312"/>
          <w:color w:val="auto"/>
          <w:sz w:val="32"/>
          <w:szCs w:val="32"/>
        </w:rPr>
        <w:t>以下，建筑密度</w:t>
      </w:r>
      <w:r>
        <w:rPr>
          <w:rFonts w:hint="eastAsia" w:eastAsia="仿宋_GB2312"/>
          <w:color w:val="auto"/>
          <w:sz w:val="32"/>
          <w:szCs w:val="32"/>
          <w:lang w:val="en-US" w:eastAsia="zh-CN"/>
        </w:rPr>
        <w:t>50%</w:t>
      </w:r>
      <w:r>
        <w:rPr>
          <w:rFonts w:eastAsia="仿宋_GB2312"/>
          <w:color w:val="auto"/>
          <w:sz w:val="32"/>
          <w:szCs w:val="32"/>
        </w:rPr>
        <w:t>以下，绿地率</w:t>
      </w:r>
      <w:r>
        <w:rPr>
          <w:rFonts w:hint="eastAsia" w:eastAsia="仿宋_GB2312"/>
          <w:color w:val="auto"/>
          <w:sz w:val="32"/>
          <w:szCs w:val="32"/>
          <w:lang w:val="en-US" w:eastAsia="zh-CN"/>
        </w:rPr>
        <w:t>20%</w:t>
      </w:r>
      <w:r>
        <w:rPr>
          <w:rFonts w:eastAsia="仿宋_GB2312"/>
          <w:color w:val="auto"/>
          <w:sz w:val="32"/>
          <w:szCs w:val="32"/>
        </w:rPr>
        <w:t>以上，建筑高度</w:t>
      </w:r>
      <w:r>
        <w:rPr>
          <w:rFonts w:hint="eastAsia" w:eastAsia="仿宋_GB2312"/>
          <w:color w:val="auto"/>
          <w:sz w:val="32"/>
          <w:szCs w:val="32"/>
          <w:lang w:val="en-US" w:eastAsia="zh-CN"/>
        </w:rPr>
        <w:t>146</w:t>
      </w:r>
      <w:r>
        <w:rPr>
          <w:rFonts w:eastAsia="仿宋_GB2312"/>
          <w:color w:val="auto"/>
          <w:sz w:val="32"/>
          <w:szCs w:val="32"/>
        </w:rPr>
        <w:t>米以下</w:t>
      </w:r>
      <w:r>
        <w:rPr>
          <w:rFonts w:hint="eastAsia" w:eastAsia="仿宋_GB2312"/>
          <w:color w:val="auto"/>
          <w:sz w:val="32"/>
          <w:szCs w:val="32"/>
          <w:lang w:eastAsia="zh-CN"/>
        </w:rPr>
        <w:t>，并满足航空限高要求</w:t>
      </w:r>
      <w:r>
        <w:rPr>
          <w:rFonts w:eastAsia="仿宋_GB2312"/>
          <w:color w:val="auto"/>
          <w:sz w:val="32"/>
          <w:szCs w:val="32"/>
        </w:rPr>
        <w:t>。</w:t>
      </w:r>
      <w:r>
        <w:rPr>
          <w:rFonts w:eastAsia="仿宋_GB2312"/>
          <w:color w:val="000000"/>
          <w:sz w:val="32"/>
          <w:szCs w:val="32"/>
        </w:rPr>
        <w:t>建设内容为</w:t>
      </w:r>
      <w:r>
        <w:rPr>
          <w:rFonts w:hint="eastAsia" w:eastAsia="仿宋_GB2312"/>
          <w:color w:val="000000"/>
          <w:sz w:val="32"/>
          <w:szCs w:val="32"/>
        </w:rPr>
        <w:t>商业、商务办公场所,其中商业计容建筑面积80000平</w:t>
      </w:r>
      <w:r>
        <w:rPr>
          <w:rFonts w:hint="eastAsia" w:eastAsia="仿宋_GB2312"/>
          <w:color w:val="000000"/>
          <w:sz w:val="32"/>
          <w:szCs w:val="32"/>
          <w:highlight w:val="none"/>
        </w:rPr>
        <w:t>方米，酒店25000平方米，其</w:t>
      </w:r>
      <w:r>
        <w:rPr>
          <w:rFonts w:hint="eastAsia" w:eastAsia="仿宋_GB2312"/>
          <w:color w:val="000000"/>
          <w:sz w:val="32"/>
          <w:szCs w:val="32"/>
        </w:rPr>
        <w:t>余为办公及配套。</w:t>
      </w:r>
    </w:p>
    <w:p>
      <w:pPr>
        <w:numPr>
          <w:ilvl w:val="0"/>
          <w:numId w:val="0"/>
        </w:numPr>
        <w:spacing w:line="580" w:lineRule="exact"/>
        <w:ind w:firstLine="643" w:firstLineChars="200"/>
        <w:rPr>
          <w:rFonts w:eastAsia="仿宋_GB2312"/>
          <w:sz w:val="32"/>
          <w:szCs w:val="32"/>
        </w:rPr>
      </w:pPr>
      <w:r>
        <w:rPr>
          <w:rFonts w:hint="eastAsia" w:hAnsi="仿宋_GB2312" w:cs="仿宋_GB2312"/>
          <w:b/>
          <w:szCs w:val="32"/>
          <w:lang w:eastAsia="zh-CN"/>
        </w:rPr>
        <w:t xml:space="preserve"> </w:t>
      </w:r>
      <w:r>
        <w:rPr>
          <w:rFonts w:hint="eastAsia" w:hAnsi="仿宋_GB2312" w:cs="仿宋_GB2312"/>
          <w:b/>
          <w:szCs w:val="32"/>
          <w:lang w:val="en-US" w:eastAsia="zh-CN"/>
        </w:rPr>
        <w:t>2.</w:t>
      </w:r>
      <w:r>
        <w:rPr>
          <w:rFonts w:hint="eastAsia" w:hAnsi="仿宋_GB2312" w:cs="仿宋_GB2312"/>
          <w:b/>
          <w:szCs w:val="32"/>
          <w:lang w:eastAsia="zh-CN"/>
        </w:rPr>
        <w:t>丰</w:t>
      </w:r>
      <w:r>
        <w:rPr>
          <w:rFonts w:hint="eastAsia" w:hAnsi="仿宋_GB2312" w:cs="仿宋_GB2312"/>
          <w:b/>
          <w:szCs w:val="32"/>
          <w:lang w:val="en-US" w:eastAsia="zh-CN"/>
        </w:rPr>
        <w:t>2024-27-2号地块</w:t>
      </w:r>
      <w:r>
        <w:rPr>
          <w:rFonts w:hint="eastAsia" w:hAnsi="仿宋_GB2312" w:cs="仿宋_GB2312"/>
          <w:b/>
          <w:szCs w:val="32"/>
          <w:lang w:eastAsia="zh-CN"/>
        </w:rPr>
        <w:t>。</w:t>
      </w:r>
      <w:r>
        <w:rPr>
          <w:rFonts w:eastAsia="仿宋_GB2312"/>
          <w:color w:val="auto"/>
          <w:sz w:val="32"/>
          <w:szCs w:val="32"/>
        </w:rPr>
        <w:t>该宗地即</w:t>
      </w:r>
      <w:r>
        <w:rPr>
          <w:rFonts w:hint="eastAsia" w:eastAsia="仿宋_GB2312"/>
          <w:color w:val="auto"/>
          <w:sz w:val="32"/>
          <w:szCs w:val="32"/>
          <w:lang w:val="en-US" w:eastAsia="zh-CN"/>
        </w:rPr>
        <w:t>2026-FZ09</w:t>
      </w:r>
      <w:r>
        <w:rPr>
          <w:rFonts w:eastAsia="仿宋_GB2312"/>
          <w:color w:val="auto"/>
          <w:sz w:val="32"/>
          <w:szCs w:val="32"/>
        </w:rPr>
        <w:t>号储备用地，位于</w:t>
      </w:r>
      <w:r>
        <w:rPr>
          <w:rFonts w:hint="eastAsia" w:eastAsia="仿宋_GB2312"/>
          <w:color w:val="auto"/>
          <w:sz w:val="32"/>
          <w:szCs w:val="32"/>
        </w:rPr>
        <w:t>丰泽区中央活力区金崎片区经十四路东侧、东宏路西侧，</w:t>
      </w:r>
      <w:r>
        <w:rPr>
          <w:rFonts w:eastAsia="仿宋_GB2312"/>
          <w:color w:val="auto"/>
          <w:sz w:val="32"/>
          <w:szCs w:val="32"/>
        </w:rPr>
        <w:t>土地面积</w:t>
      </w:r>
      <w:r>
        <w:rPr>
          <w:rFonts w:hint="eastAsia" w:eastAsia="仿宋_GB2312"/>
          <w:color w:val="auto"/>
          <w:sz w:val="32"/>
          <w:szCs w:val="32"/>
        </w:rPr>
        <w:t>36521.13平方米（约54.78亩）</w:t>
      </w:r>
      <w:r>
        <w:rPr>
          <w:rFonts w:eastAsia="仿宋_GB2312"/>
          <w:bCs/>
          <w:color w:val="auto"/>
          <w:sz w:val="32"/>
          <w:szCs w:val="32"/>
          <w:lang w:val="zh-CN"/>
        </w:rPr>
        <w:t>。</w:t>
      </w:r>
      <w:r>
        <w:rPr>
          <w:rFonts w:eastAsia="仿宋_GB2312"/>
          <w:color w:val="auto"/>
          <w:sz w:val="32"/>
          <w:szCs w:val="32"/>
        </w:rPr>
        <w:t>规划用途为</w:t>
      </w:r>
      <w:r>
        <w:rPr>
          <w:rFonts w:hint="eastAsia" w:eastAsia="仿宋_GB2312"/>
          <w:color w:val="auto"/>
          <w:sz w:val="32"/>
          <w:szCs w:val="32"/>
          <w:lang w:eastAsia="zh-CN"/>
        </w:rPr>
        <w:t>二类城镇住宅用地</w:t>
      </w:r>
      <w:r>
        <w:rPr>
          <w:rFonts w:eastAsia="仿宋_GB2312"/>
          <w:bCs/>
          <w:color w:val="auto"/>
          <w:sz w:val="32"/>
          <w:szCs w:val="32"/>
          <w:lang w:val="zh-CN"/>
        </w:rPr>
        <w:t>。</w:t>
      </w:r>
      <w:r>
        <w:rPr>
          <w:rFonts w:eastAsia="仿宋_GB2312"/>
          <w:color w:val="auto"/>
          <w:sz w:val="32"/>
          <w:szCs w:val="32"/>
        </w:rPr>
        <w:t>主要技术指标为：容积率</w:t>
      </w:r>
      <w:r>
        <w:rPr>
          <w:rFonts w:hint="eastAsia" w:eastAsia="仿宋_GB2312"/>
          <w:color w:val="auto"/>
          <w:sz w:val="32"/>
          <w:szCs w:val="32"/>
          <w:lang w:val="en-US" w:eastAsia="zh-CN"/>
        </w:rPr>
        <w:t>2.5</w:t>
      </w:r>
      <w:r>
        <w:rPr>
          <w:rFonts w:eastAsia="仿宋_GB2312"/>
          <w:color w:val="auto"/>
          <w:sz w:val="32"/>
          <w:szCs w:val="32"/>
        </w:rPr>
        <w:t>以下</w:t>
      </w:r>
      <w:r>
        <w:rPr>
          <w:rFonts w:hint="eastAsia" w:eastAsia="仿宋_GB2312"/>
          <w:color w:val="auto"/>
          <w:sz w:val="32"/>
          <w:szCs w:val="32"/>
          <w:lang w:val="en-US" w:eastAsia="zh-CN"/>
        </w:rPr>
        <w:t>1.0</w:t>
      </w:r>
      <w:r>
        <w:rPr>
          <w:rFonts w:eastAsia="仿宋_GB2312"/>
          <w:color w:val="auto"/>
          <w:sz w:val="32"/>
          <w:szCs w:val="32"/>
        </w:rPr>
        <w:t>以上，建筑密度</w:t>
      </w:r>
      <w:r>
        <w:rPr>
          <w:rFonts w:hint="eastAsia" w:eastAsia="仿宋_GB2312"/>
          <w:color w:val="auto"/>
          <w:sz w:val="32"/>
          <w:szCs w:val="32"/>
          <w:lang w:val="en-US" w:eastAsia="zh-CN"/>
        </w:rPr>
        <w:t>30%</w:t>
      </w:r>
      <w:r>
        <w:rPr>
          <w:rFonts w:eastAsia="仿宋_GB2312"/>
          <w:color w:val="auto"/>
          <w:sz w:val="32"/>
          <w:szCs w:val="32"/>
        </w:rPr>
        <w:t>以下，绿地率</w:t>
      </w:r>
      <w:r>
        <w:rPr>
          <w:rFonts w:hint="eastAsia" w:eastAsia="仿宋_GB2312"/>
          <w:color w:val="auto"/>
          <w:sz w:val="32"/>
          <w:szCs w:val="32"/>
          <w:lang w:val="en-US" w:eastAsia="zh-CN"/>
        </w:rPr>
        <w:t>30%</w:t>
      </w:r>
      <w:r>
        <w:rPr>
          <w:rFonts w:eastAsia="仿宋_GB2312"/>
          <w:color w:val="auto"/>
          <w:sz w:val="32"/>
          <w:szCs w:val="32"/>
        </w:rPr>
        <w:t>以上，建筑高度</w:t>
      </w:r>
      <w:r>
        <w:rPr>
          <w:rFonts w:hint="eastAsia" w:eastAsia="仿宋_GB2312"/>
          <w:color w:val="auto"/>
          <w:sz w:val="32"/>
          <w:szCs w:val="32"/>
          <w:lang w:val="en-US" w:eastAsia="zh-CN"/>
        </w:rPr>
        <w:t>80</w:t>
      </w:r>
      <w:r>
        <w:rPr>
          <w:rFonts w:eastAsia="仿宋_GB2312"/>
          <w:color w:val="auto"/>
          <w:sz w:val="32"/>
          <w:szCs w:val="32"/>
        </w:rPr>
        <w:t>米以下。建设内容为</w:t>
      </w:r>
      <w:r>
        <w:rPr>
          <w:rFonts w:hint="eastAsia" w:eastAsia="仿宋_GB2312"/>
          <w:color w:val="auto"/>
          <w:sz w:val="32"/>
          <w:szCs w:val="32"/>
        </w:rPr>
        <w:t>住宅</w:t>
      </w:r>
      <w:r>
        <w:rPr>
          <w:rFonts w:hint="eastAsia" w:eastAsia="仿宋_GB2312"/>
          <w:color w:val="auto"/>
          <w:sz w:val="32"/>
          <w:szCs w:val="32"/>
          <w:lang w:eastAsia="zh-CN"/>
        </w:rPr>
        <w:t>及其配套设施</w:t>
      </w:r>
      <w:r>
        <w:rPr>
          <w:rFonts w:eastAsia="仿宋_GB2312"/>
          <w:color w:val="auto"/>
          <w:sz w:val="32"/>
          <w:szCs w:val="32"/>
        </w:rPr>
        <w:t>。</w:t>
      </w:r>
    </w:p>
    <w:p>
      <w:pPr>
        <w:spacing w:line="580" w:lineRule="exact"/>
        <w:ind w:firstLine="643" w:firstLineChars="200"/>
        <w:rPr>
          <w:rFonts w:hint="default" w:eastAsia="仿宋_GB2312"/>
          <w:color w:val="000000"/>
          <w:sz w:val="32"/>
          <w:szCs w:val="32"/>
          <w:lang w:eastAsia="zh-CN"/>
        </w:rPr>
      </w:pPr>
      <w:r>
        <w:rPr>
          <w:rFonts w:hint="eastAsia" w:hAnsi="仿宋_GB2312" w:cs="仿宋_GB2312"/>
          <w:b/>
          <w:szCs w:val="32"/>
          <w:lang w:val="en-US" w:eastAsia="zh-CN"/>
        </w:rPr>
        <w:t xml:space="preserve"> 3.</w:t>
      </w:r>
      <w:r>
        <w:rPr>
          <w:rFonts w:hint="default" w:hAnsi="仿宋_GB2312" w:cs="仿宋_GB2312"/>
          <w:b/>
          <w:szCs w:val="32"/>
          <w:lang w:val="en-US" w:eastAsia="zh-CN"/>
        </w:rPr>
        <w:t>鲤2024-12号地块。</w:t>
      </w:r>
      <w:r>
        <w:rPr>
          <w:rFonts w:hint="default" w:eastAsia="仿宋_GB2312"/>
          <w:color w:val="000000"/>
          <w:sz w:val="32"/>
          <w:szCs w:val="32"/>
          <w:lang w:eastAsia="zh-CN"/>
        </w:rPr>
        <w:t>该宗地即</w:t>
      </w:r>
      <w:r>
        <w:rPr>
          <w:rFonts w:hint="default" w:eastAsia="仿宋_GB2312"/>
          <w:color w:val="000000"/>
          <w:sz w:val="32"/>
          <w:szCs w:val="32"/>
          <w:lang w:val="en-US" w:eastAsia="zh-CN"/>
        </w:rPr>
        <w:t>2024-36</w:t>
      </w:r>
      <w:r>
        <w:rPr>
          <w:rFonts w:hint="default" w:eastAsia="仿宋_GB2312"/>
          <w:color w:val="000000"/>
          <w:sz w:val="32"/>
          <w:szCs w:val="32"/>
          <w:lang w:eastAsia="zh-CN"/>
        </w:rPr>
        <w:t>号储备用地，该宗地位于池峰路东侧，乐园路西北侧。用地面积由为46591.32平方米（约69.88亩）。规划用途：城镇住宅与商业混合用地。主要技术指标：容积率3.5以下1.0以上，建筑密度35%以下，绿地率30%以上，建筑高度80米以下。建设内容为</w:t>
      </w:r>
      <w:r>
        <w:rPr>
          <w:rFonts w:hint="eastAsia" w:eastAsia="仿宋_GB2312"/>
          <w:color w:val="000000"/>
          <w:sz w:val="32"/>
          <w:szCs w:val="32"/>
          <w:lang w:eastAsia="zh-CN"/>
        </w:rPr>
        <w:t>商业设施、住宅及公共配套设施，其中商业设施计容建筑面积不少于</w:t>
      </w:r>
      <w:r>
        <w:rPr>
          <w:rFonts w:hint="eastAsia" w:eastAsia="仿宋_GB2312"/>
          <w:color w:val="000000"/>
          <w:sz w:val="32"/>
          <w:szCs w:val="32"/>
          <w:lang w:val="en-US" w:eastAsia="zh-CN"/>
        </w:rPr>
        <w:t>32000平方米</w:t>
      </w:r>
      <w:r>
        <w:rPr>
          <w:rFonts w:hint="default" w:eastAsia="仿宋_GB2312"/>
          <w:color w:val="000000"/>
          <w:sz w:val="32"/>
          <w:szCs w:val="32"/>
          <w:lang w:eastAsia="zh-CN"/>
        </w:rPr>
        <w:t>。</w:t>
      </w:r>
    </w:p>
    <w:p>
      <w:pPr>
        <w:spacing w:line="520" w:lineRule="exact"/>
        <w:ind w:firstLine="643" w:firstLineChars="200"/>
        <w:rPr>
          <w:rFonts w:hAnsi="仿宋_GB2312" w:cs="仿宋_GB2312"/>
          <w:color w:val="auto"/>
          <w:szCs w:val="32"/>
        </w:rPr>
      </w:pPr>
      <w:r>
        <w:rPr>
          <w:rFonts w:hint="eastAsia" w:hAnsi="仿宋_GB2312" w:cs="仿宋_GB2312"/>
          <w:b/>
          <w:szCs w:val="32"/>
          <w:lang w:val="en-US" w:eastAsia="zh-CN"/>
        </w:rPr>
        <w:t>4.台2024-9号地块。</w:t>
      </w:r>
      <w:r>
        <w:rPr>
          <w:rFonts w:hint="eastAsia" w:eastAsia="仿宋_GB2312"/>
          <w:sz w:val="32"/>
          <w:szCs w:val="32"/>
        </w:rPr>
        <w:t>该宗地即2026-T01号储备用地，位于泉州台商投资区东园镇，土地面积38575平方米（约57.9亩）。规划用途为二类居住用地。主要技术指标为：容积率1.9以下1.0以上，建筑密度30%以下，绿地率30%以上，建筑高度80米以下。建设内容为住宅及配套设施。其中，商业计容建筑面积约占总计容建筑面积的3%。</w:t>
      </w:r>
      <w:r>
        <w:rPr>
          <w:rFonts w:hint="eastAsia" w:ascii="仿宋" w:hAnsi="仿宋" w:eastAsia="仿宋" w:cs="仿宋"/>
          <w:sz w:val="31"/>
          <w:szCs w:val="31"/>
          <w:lang w:bidi="ar"/>
        </w:rPr>
        <w:t xml:space="preserve">        </w:t>
      </w:r>
    </w:p>
    <w:p>
      <w:pPr>
        <w:spacing w:line="560" w:lineRule="exact"/>
        <w:ind w:firstLine="636" w:firstLineChars="199"/>
        <w:rPr>
          <w:szCs w:val="32"/>
        </w:rPr>
      </w:pPr>
      <w:r>
        <w:rPr>
          <w:rFonts w:hint="eastAsia" w:hAnsi="仿宋_GB2312" w:cs="仿宋_GB2312"/>
          <w:color w:val="auto"/>
          <w:szCs w:val="32"/>
        </w:rPr>
        <w:t>（二）规划指标和相关要求</w:t>
      </w:r>
    </w:p>
    <w:p>
      <w:pPr>
        <w:spacing w:line="579" w:lineRule="exact"/>
        <w:ind w:firstLine="636" w:firstLineChars="199"/>
        <w:rPr>
          <w:rFonts w:eastAsia="仿宋_GB2312"/>
          <w:sz w:val="32"/>
          <w:szCs w:val="32"/>
        </w:rPr>
      </w:pPr>
      <w:r>
        <w:rPr>
          <w:rFonts w:hint="eastAsia" w:eastAsia="仿宋_GB2312"/>
          <w:sz w:val="32"/>
          <w:szCs w:val="32"/>
          <w:lang w:val="en-US" w:eastAsia="zh-CN"/>
        </w:rPr>
        <w:t>1.</w:t>
      </w:r>
      <w:r>
        <w:rPr>
          <w:rFonts w:hint="eastAsia" w:eastAsia="仿宋_GB2312"/>
          <w:color w:val="auto"/>
          <w:sz w:val="32"/>
          <w:szCs w:val="32"/>
          <w:lang w:val="en-US" w:eastAsia="zh-CN"/>
        </w:rPr>
        <w:t>丰2024-27-2号、鲤2024-12号地块、台2024-9号</w:t>
      </w:r>
      <w:r>
        <w:rPr>
          <w:rFonts w:eastAsia="仿宋_GB2312"/>
          <w:color w:val="auto"/>
          <w:sz w:val="32"/>
          <w:szCs w:val="32"/>
        </w:rPr>
        <w:t>地块竞买申请人须具有房地产开发资质。</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2.丰2024-27-2号地块竞得人须按有关规范要求配套建设相应的公共配套服务设施，包括：居家养老服务站等设施[具体规划要求详见《泉州市自然资源和规划局关于下达2026-FZ09号储备用地规划条件的通知》（泉资规〔2026〕77号）]，且上述公共配套服务设施应相对集中布置在交通便利、方便群众使用的地方，与项目主体建筑同时设计、同时建设，否则住建部门不予核发预售证，建成后无偿将产权、使用权移交给政府指定的有权机构。</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3.鲤2024-12号地块竞得人须按有关规范要求配套建设相应的公共配套服务设施，包括：社区管理服务用房、社区医疗服务站、居家养老服务站、幼儿园等设施[具体规划要求详见《泉州市自然资源和规划局关于下达2024-36号储备用地规划条件的通知》（泉资规〔2026〕83号）]，且上述公共配套服务设施应相对集中布置在交通便利、方便群众使用的地方，与项目主体建筑同时设计、同时建设，否则住建部门不予核发预售证，建成后无偿将产权、使用权移交给政府指定的有权机构。</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4.台2024-9号地块竞得人须按有关规范要求配套建设相应的公共配套服务设施，包括：社区管理服务用房、社区医疗服务站、居家养老服务站等设施[具体规划要求详见《泉州市自然资源和规划局关于下达2026-T01号储备用地规划条件的通知》（泉资规〔2026〕</w:t>
      </w:r>
      <w:r>
        <w:rPr>
          <w:rFonts w:hint="default" w:eastAsia="仿宋_GB2312"/>
          <w:color w:val="auto"/>
          <w:sz w:val="32"/>
          <w:szCs w:val="32"/>
          <w:lang w:val="en-US" w:eastAsia="zh-CN"/>
        </w:rPr>
        <w:t>80</w:t>
      </w:r>
      <w:r>
        <w:rPr>
          <w:rFonts w:hint="eastAsia" w:eastAsia="仿宋_GB2312"/>
          <w:color w:val="auto"/>
          <w:sz w:val="32"/>
          <w:szCs w:val="32"/>
          <w:lang w:val="en-US" w:eastAsia="zh-CN"/>
        </w:rPr>
        <w:t>号）]，且上述公共配套服务设施应相对集中布置在交通便利、方便群众使用的地方，与项目主体建筑同时设计、同时建设，否则住建部门不予核发预售证，建成后无偿将产权、使用权移交给政府指定的有权机构。</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5.丰2026-5号地块建设内容为商业、商务办公场所,其中商业计容建筑面积80000平方米，酒店25000平方米，其余为办公及配套；该地块商业建筑、酒店建筑不可分割销售、不可分割转让，办公建筑可分割销售</w:t>
      </w:r>
      <w:r>
        <w:rPr>
          <w:rFonts w:hint="default" w:eastAsia="仿宋_GB2312"/>
          <w:color w:val="auto"/>
          <w:sz w:val="32"/>
          <w:szCs w:val="32"/>
          <w:lang w:val="en-US" w:eastAsia="zh-CN"/>
        </w:rPr>
        <w:t>、可分割转让</w:t>
      </w:r>
      <w:r>
        <w:rPr>
          <w:rFonts w:hint="eastAsia" w:eastAsia="仿宋_GB2312"/>
          <w:color w:val="auto"/>
          <w:sz w:val="32"/>
          <w:szCs w:val="32"/>
          <w:lang w:val="en-US" w:eastAsia="zh-CN"/>
        </w:rPr>
        <w:t>。鲤2024-12号地块主要建设内容为商业设施、住宅及公共配套设施，其中商业设施计容建筑面积不少于32000平方米；该地块商业建筑为可分割转让，可分割销售。台2024-9号地块建设内容为住宅及配套设施，其中商业计容建筑面积约占总计容建筑面积的3%；该地块商业建筑可分割销售</w:t>
      </w:r>
      <w:r>
        <w:rPr>
          <w:rFonts w:hint="default" w:eastAsia="仿宋_GB2312"/>
          <w:color w:val="auto"/>
          <w:sz w:val="32"/>
          <w:szCs w:val="32"/>
          <w:lang w:val="en-US" w:eastAsia="zh-CN"/>
        </w:rPr>
        <w:t>、可分割转让</w:t>
      </w:r>
      <w:r>
        <w:rPr>
          <w:rFonts w:hint="eastAsia" w:eastAsia="仿宋_GB2312"/>
          <w:color w:val="auto"/>
          <w:sz w:val="32"/>
          <w:szCs w:val="32"/>
          <w:lang w:val="en-US" w:eastAsia="zh-CN"/>
        </w:rPr>
        <w:t>。</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6.台2024-9号地块竞得人应根据《泉州台商投资区管理委员会关于印发泉州台商投资区夜景工程实施方案的通知》（泉台管〔2021〕9号）要求，增加夜景工程规划建设专篇。同时，应按照泉州台商投资区统一标准设置施工围挡。</w:t>
      </w:r>
    </w:p>
    <w:p>
      <w:pPr>
        <w:spacing w:line="579" w:lineRule="exact"/>
        <w:ind w:firstLine="636" w:firstLineChars="199"/>
        <w:rPr>
          <w:rFonts w:hint="default" w:eastAsia="仿宋_GB2312"/>
          <w:color w:val="auto"/>
          <w:sz w:val="32"/>
          <w:szCs w:val="32"/>
          <w:lang w:val="en-US" w:eastAsia="zh-CN"/>
        </w:rPr>
      </w:pPr>
      <w:r>
        <w:rPr>
          <w:rFonts w:hint="eastAsia" w:eastAsia="仿宋_GB2312"/>
          <w:color w:val="auto"/>
          <w:sz w:val="32"/>
          <w:szCs w:val="32"/>
          <w:lang w:val="en-US" w:eastAsia="zh-CN"/>
        </w:rPr>
        <w:t>7.丰2024-27-2号、鲤2024-12号地块、台2024-9号地块不设住宅最高销售限价，由竞得企业根据市场情况自主定价，该项目商品房上市销售时，应执行国家及地方房地产有关政策，接受相关主管部门的指导和监督。</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8.丰2024-27-2号、鲤2024-12号地块、台2024-9号地块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9.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丰2024-27-2号、鲤2024-12号地块、台2024-9号地块应将电动自行车停放充电设施纳入项目配套。</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10.丰2024-27-2号、鲤2024-12号地块、台2024-9号地块的装配式建筑应占新建建筑面积40%以上。</w:t>
      </w:r>
    </w:p>
    <w:p>
      <w:pPr>
        <w:spacing w:line="579" w:lineRule="exact"/>
        <w:ind w:firstLine="636" w:firstLineChars="199"/>
        <w:rPr>
          <w:rFonts w:hint="eastAsia" w:eastAsia="仿宋_GB2312"/>
          <w:color w:val="auto"/>
          <w:sz w:val="32"/>
          <w:szCs w:val="32"/>
          <w:lang w:val="en-US" w:eastAsia="zh-CN"/>
        </w:rPr>
      </w:pPr>
      <w:r>
        <w:rPr>
          <w:rFonts w:hint="eastAsia" w:eastAsia="仿宋_GB2312"/>
          <w:color w:val="auto"/>
          <w:sz w:val="32"/>
          <w:szCs w:val="32"/>
          <w:lang w:val="en-US" w:eastAsia="zh-CN"/>
        </w:rPr>
        <w:t>11.按照《泉州市人民政府关于印发泉州市促进房地产市场持续健康稳定发展若干意见（2018—2025年）的通知》（泉政文〔2018〕87号）要求，丰2024-27-2号、鲤2024-12号地块、台2024-9号地块的建筑单体质量要求达到泉州市优质工程及以上。</w:t>
      </w:r>
    </w:p>
    <w:p>
      <w:pPr>
        <w:spacing w:line="579" w:lineRule="exact"/>
        <w:ind w:firstLine="636" w:firstLineChars="199"/>
        <w:rPr>
          <w:szCs w:val="32"/>
        </w:rPr>
      </w:pPr>
      <w:r>
        <w:rPr>
          <w:rFonts w:hint="eastAsia" w:eastAsia="仿宋_GB2312"/>
          <w:color w:val="auto"/>
          <w:sz w:val="32"/>
          <w:szCs w:val="32"/>
          <w:lang w:val="en-US" w:eastAsia="zh-CN"/>
        </w:rPr>
        <w:t>12.按照《泉州市人民政府办公室转发泉州市住房和城乡建设局 泉州市自然资源和规划局关于加强新建商品住宅及商办类建筑建设管理的通知》（泉政办明传〔2021〕75号）要求，丰2024-27-2号、鲤2024-12号地块、台2024-9号地块开发建设应符合《新建商品住宅建设品质提升事项》。</w:t>
      </w:r>
      <w:r>
        <w:rPr>
          <w:rFonts w:hint="eastAsia"/>
          <w:szCs w:val="32"/>
        </w:rPr>
        <w:t xml:space="preserve">     </w:t>
      </w:r>
    </w:p>
    <w:p>
      <w:pPr>
        <w:widowControl/>
        <w:spacing w:line="520" w:lineRule="exact"/>
        <w:ind w:firstLine="640" w:firstLineChars="200"/>
        <w:rPr>
          <w:rFonts w:hAnsi="仿宋_GB2312" w:cs="仿宋_GB2312"/>
          <w:color w:val="auto"/>
          <w:szCs w:val="32"/>
        </w:rPr>
      </w:pPr>
      <w:r>
        <w:rPr>
          <w:rFonts w:hint="eastAsia" w:hAnsi="仿宋_GB2312" w:cs="仿宋_GB2312"/>
          <w:color w:val="auto"/>
          <w:szCs w:val="32"/>
        </w:rPr>
        <w:t>五、竞买人资格</w:t>
      </w:r>
    </w:p>
    <w:p>
      <w:pPr>
        <w:spacing w:line="560" w:lineRule="exact"/>
        <w:ind w:firstLine="640" w:firstLineChars="200"/>
        <w:rPr>
          <w:rFonts w:hint="eastAsia" w:hAnsi="仿宋_GB2312" w:cs="仿宋_GB2312"/>
          <w:color w:val="auto"/>
          <w:szCs w:val="32"/>
        </w:rPr>
      </w:pPr>
      <w:r>
        <w:rPr>
          <w:rFonts w:hint="eastAsia" w:hAnsi="仿宋_GB2312" w:cs="仿宋_GB2312"/>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法人、自然人或其他组织）以及法律法规另有规定外，均可申请参加竞买。竞买申请人应当单独申请。同一企业及其控股的各个公司，不得参与同一宗地的竞买。非住宅地块竞买申请人提交竞买申请书时，应同时提交竞买保证金，同时提交竞买保证金属于自有资金，不属于银行贷款、股东借款、民间借款、转贷和募集资金的承诺书及商业金融机构的资信证明。</w:t>
      </w:r>
    </w:p>
    <w:p>
      <w:pPr>
        <w:spacing w:line="560" w:lineRule="exact"/>
        <w:ind w:firstLine="640" w:firstLineChars="200"/>
        <w:rPr>
          <w:rFonts w:hAnsi="仿宋_GB2312" w:cs="仿宋_GB2312"/>
          <w:color w:val="auto"/>
          <w:szCs w:val="32"/>
        </w:rPr>
      </w:pPr>
      <w:r>
        <w:rPr>
          <w:rFonts w:hint="eastAsia" w:hAnsi="仿宋_GB2312" w:cs="仿宋_GB2312"/>
          <w:color w:val="auto"/>
          <w:szCs w:val="32"/>
        </w:rPr>
        <w:t>交纳竞买保证金的截止时间为2026年</w:t>
      </w:r>
      <w:r>
        <w:rPr>
          <w:rFonts w:hint="eastAsia" w:hAnsi="仿宋_GB2312" w:cs="仿宋_GB2312"/>
          <w:color w:val="auto"/>
          <w:szCs w:val="32"/>
          <w:lang w:val="en-US" w:eastAsia="zh-CN"/>
        </w:rPr>
        <w:t>5</w:t>
      </w:r>
      <w:r>
        <w:rPr>
          <w:rFonts w:hint="eastAsia" w:hAnsi="仿宋_GB2312" w:cs="仿宋_GB2312"/>
          <w:color w:val="auto"/>
          <w:szCs w:val="32"/>
        </w:rPr>
        <w:t>月</w:t>
      </w:r>
      <w:r>
        <w:rPr>
          <w:rFonts w:hint="eastAsia" w:hAnsi="仿宋_GB2312" w:cs="仿宋_GB2312"/>
          <w:color w:val="auto"/>
          <w:szCs w:val="32"/>
          <w:lang w:val="en-US" w:eastAsia="zh-CN"/>
        </w:rPr>
        <w:t>20</w:t>
      </w:r>
      <w:r>
        <w:rPr>
          <w:rFonts w:hint="eastAsia" w:hAnsi="仿宋_GB2312" w:cs="仿宋_GB2312"/>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60" w:lineRule="exact"/>
        <w:ind w:firstLine="640" w:firstLineChars="200"/>
        <w:rPr>
          <w:rFonts w:hint="eastAsia" w:hAnsi="仿宋_GB2312" w:cs="仿宋_GB2312"/>
          <w:color w:val="auto"/>
          <w:szCs w:val="32"/>
          <w:lang w:eastAsia="zh-CN"/>
        </w:rPr>
      </w:pPr>
      <w:r>
        <w:rPr>
          <w:rFonts w:hint="eastAsia" w:hAnsi="仿宋_GB2312" w:cs="仿宋_GB2312"/>
          <w:color w:val="auto"/>
          <w:szCs w:val="32"/>
          <w:lang w:eastAsia="zh-CN"/>
        </w:rPr>
        <w:t>丰</w:t>
      </w:r>
      <w:r>
        <w:rPr>
          <w:rFonts w:hint="eastAsia" w:hAnsi="仿宋_GB2312" w:cs="仿宋_GB2312"/>
          <w:color w:val="auto"/>
          <w:szCs w:val="32"/>
        </w:rPr>
        <w:t>202</w:t>
      </w:r>
      <w:r>
        <w:rPr>
          <w:rFonts w:hint="eastAsia" w:hAnsi="仿宋_GB2312" w:cs="仿宋_GB2312"/>
          <w:color w:val="auto"/>
          <w:szCs w:val="32"/>
          <w:lang w:val="en-US" w:eastAsia="zh-CN"/>
        </w:rPr>
        <w:t>6</w:t>
      </w:r>
      <w:r>
        <w:rPr>
          <w:rFonts w:hint="eastAsia" w:hAnsi="仿宋_GB2312" w:cs="仿宋_GB2312"/>
          <w:color w:val="auto"/>
          <w:szCs w:val="32"/>
        </w:rPr>
        <w:t>-</w:t>
      </w:r>
      <w:r>
        <w:rPr>
          <w:rFonts w:hint="eastAsia" w:hAnsi="仿宋_GB2312" w:cs="仿宋_GB2312"/>
          <w:color w:val="auto"/>
          <w:szCs w:val="32"/>
          <w:lang w:val="en-US" w:eastAsia="zh-CN"/>
        </w:rPr>
        <w:t>5</w:t>
      </w:r>
      <w:r>
        <w:rPr>
          <w:rFonts w:hint="eastAsia" w:hAnsi="仿宋_GB2312" w:cs="仿宋_GB2312"/>
          <w:color w:val="auto"/>
          <w:szCs w:val="32"/>
        </w:rPr>
        <w:t>号地块的竞买保证金为人民币（大写）</w:t>
      </w:r>
      <w:r>
        <w:rPr>
          <w:rFonts w:hint="eastAsia" w:hAnsi="仿宋_GB2312" w:cs="仿宋_GB2312"/>
          <w:color w:val="auto"/>
          <w:szCs w:val="32"/>
          <w:lang w:eastAsia="zh-CN"/>
        </w:rPr>
        <w:t>壹亿肆仟贰佰陆拾万元</w:t>
      </w:r>
      <w:r>
        <w:rPr>
          <w:rFonts w:hint="eastAsia" w:hAnsi="仿宋_GB2312" w:cs="仿宋_GB2312"/>
          <w:color w:val="auto"/>
          <w:szCs w:val="32"/>
        </w:rPr>
        <w:t>整（</w:t>
      </w:r>
      <w:r>
        <w:rPr>
          <w:rFonts w:hint="eastAsia" w:hAnsi="仿宋_GB2312" w:cs="仿宋_GB2312"/>
          <w:color w:val="auto"/>
          <w:szCs w:val="32"/>
          <w:lang w:val="en-US" w:eastAsia="zh-CN"/>
        </w:rPr>
        <w:t>¥142</w:t>
      </w:r>
      <w:r>
        <w:rPr>
          <w:rFonts w:hint="eastAsia" w:hAnsi="仿宋_GB2312" w:cs="仿宋_GB2312"/>
          <w:szCs w:val="32"/>
        </w:rPr>
        <w:t>,</w:t>
      </w:r>
      <w:r>
        <w:rPr>
          <w:rFonts w:hint="eastAsia" w:hAnsi="仿宋_GB2312" w:cs="仿宋_GB2312"/>
          <w:szCs w:val="32"/>
          <w:lang w:val="en-US" w:eastAsia="zh-CN"/>
        </w:rPr>
        <w:t>60</w:t>
      </w:r>
      <w:r>
        <w:rPr>
          <w:rFonts w:hint="eastAsia" w:hAnsi="仿宋_GB2312" w:cs="仿宋_GB2312"/>
          <w:szCs w:val="32"/>
        </w:rPr>
        <w:t>0,000.00</w:t>
      </w:r>
      <w:r>
        <w:rPr>
          <w:rFonts w:hint="eastAsia" w:hAnsi="仿宋_GB2312" w:cs="仿宋_GB2312"/>
          <w:color w:val="auto"/>
          <w:szCs w:val="32"/>
        </w:rPr>
        <w:t>）</w:t>
      </w:r>
      <w:r>
        <w:rPr>
          <w:rFonts w:hint="eastAsia" w:hAnsi="仿宋_GB2312" w:cs="仿宋_GB2312"/>
          <w:color w:val="auto"/>
          <w:szCs w:val="32"/>
          <w:lang w:eastAsia="zh-CN"/>
        </w:rPr>
        <w:t>；</w:t>
      </w:r>
    </w:p>
    <w:p>
      <w:pPr>
        <w:spacing w:line="560" w:lineRule="exact"/>
        <w:ind w:firstLine="640" w:firstLineChars="200"/>
        <w:rPr>
          <w:rFonts w:hint="eastAsia" w:hAnsi="仿宋_GB2312" w:eastAsia="仿宋_GB2312" w:cs="仿宋_GB2312"/>
          <w:color w:val="auto"/>
          <w:szCs w:val="32"/>
          <w:lang w:eastAsia="zh-CN"/>
        </w:rPr>
      </w:pPr>
      <w:r>
        <w:rPr>
          <w:rFonts w:hint="eastAsia" w:hAnsi="仿宋_GB2312" w:cs="仿宋_GB2312"/>
          <w:color w:val="auto"/>
          <w:szCs w:val="32"/>
          <w:lang w:eastAsia="zh-CN"/>
        </w:rPr>
        <w:t>丰</w:t>
      </w:r>
      <w:r>
        <w:rPr>
          <w:rFonts w:hint="eastAsia" w:hAnsi="仿宋_GB2312" w:cs="仿宋_GB2312"/>
          <w:color w:val="auto"/>
          <w:szCs w:val="32"/>
        </w:rPr>
        <w:t>2024-</w:t>
      </w:r>
      <w:r>
        <w:rPr>
          <w:rFonts w:hint="eastAsia" w:hAnsi="仿宋_GB2312" w:cs="仿宋_GB2312"/>
          <w:color w:val="auto"/>
          <w:szCs w:val="32"/>
          <w:lang w:val="en-US" w:eastAsia="zh-CN"/>
        </w:rPr>
        <w:t>27-2</w:t>
      </w:r>
      <w:r>
        <w:rPr>
          <w:rFonts w:hint="eastAsia" w:hAnsi="仿宋_GB2312" w:cs="仿宋_GB2312"/>
          <w:color w:val="auto"/>
          <w:szCs w:val="32"/>
        </w:rPr>
        <w:t>号地块的竞买保证金为人民币（大写）</w:t>
      </w:r>
      <w:r>
        <w:rPr>
          <w:rFonts w:hint="eastAsia" w:hAnsi="仿宋_GB2312" w:cs="仿宋_GB2312"/>
          <w:color w:val="auto"/>
          <w:szCs w:val="32"/>
          <w:lang w:eastAsia="zh-CN"/>
        </w:rPr>
        <w:t>壹亿肆仟伍佰万</w:t>
      </w:r>
      <w:r>
        <w:rPr>
          <w:rFonts w:hint="eastAsia" w:hAnsi="仿宋_GB2312" w:cs="仿宋_GB2312"/>
          <w:color w:val="auto"/>
          <w:szCs w:val="32"/>
        </w:rPr>
        <w:t>元整（</w:t>
      </w:r>
      <w:r>
        <w:rPr>
          <w:rFonts w:hint="eastAsia" w:hAnsi="仿宋_GB2312" w:cs="仿宋_GB2312"/>
          <w:color w:val="auto"/>
          <w:szCs w:val="32"/>
          <w:lang w:val="en-US" w:eastAsia="zh-CN"/>
        </w:rPr>
        <w:t>¥145</w:t>
      </w:r>
      <w:r>
        <w:rPr>
          <w:rFonts w:hint="eastAsia" w:hAnsi="仿宋_GB2312" w:cs="仿宋_GB2312"/>
          <w:szCs w:val="32"/>
        </w:rPr>
        <w:t>,000,000.00</w:t>
      </w:r>
      <w:r>
        <w:rPr>
          <w:rFonts w:hint="eastAsia" w:hAnsi="仿宋_GB2312" w:cs="仿宋_GB2312"/>
          <w:color w:val="auto"/>
          <w:szCs w:val="32"/>
        </w:rPr>
        <w:t>）</w:t>
      </w:r>
      <w:r>
        <w:rPr>
          <w:rFonts w:hint="eastAsia" w:hAnsi="仿宋_GB2312" w:cs="仿宋_GB2312"/>
          <w:color w:val="auto"/>
          <w:szCs w:val="32"/>
          <w:lang w:eastAsia="zh-CN"/>
        </w:rPr>
        <w:t>；</w:t>
      </w:r>
    </w:p>
    <w:p>
      <w:pPr>
        <w:spacing w:line="560" w:lineRule="exact"/>
        <w:ind w:firstLine="640" w:firstLineChars="200"/>
        <w:rPr>
          <w:rFonts w:hint="eastAsia" w:hAnsi="仿宋_GB2312" w:eastAsia="仿宋_GB2312" w:cs="仿宋_GB2312"/>
          <w:color w:val="auto"/>
          <w:szCs w:val="32"/>
          <w:lang w:eastAsia="zh-CN"/>
        </w:rPr>
      </w:pPr>
      <w:r>
        <w:rPr>
          <w:rFonts w:hint="eastAsia" w:hAnsi="仿宋_GB2312" w:cs="仿宋_GB2312"/>
          <w:color w:val="auto"/>
          <w:szCs w:val="32"/>
        </w:rPr>
        <w:t>鲤2024-</w:t>
      </w:r>
      <w:r>
        <w:rPr>
          <w:rFonts w:hint="eastAsia" w:hAnsi="仿宋_GB2312" w:cs="仿宋_GB2312"/>
          <w:color w:val="auto"/>
          <w:szCs w:val="32"/>
          <w:lang w:val="en-US" w:eastAsia="zh-CN"/>
        </w:rPr>
        <w:t>12</w:t>
      </w:r>
      <w:r>
        <w:rPr>
          <w:rFonts w:hint="eastAsia" w:hAnsi="仿宋_GB2312" w:cs="仿宋_GB2312"/>
          <w:color w:val="auto"/>
          <w:szCs w:val="32"/>
        </w:rPr>
        <w:t>号地块的竞买保证金为人民币（大写）</w:t>
      </w:r>
      <w:r>
        <w:rPr>
          <w:rFonts w:hint="eastAsia" w:hAnsi="仿宋_GB2312" w:cs="仿宋_GB2312"/>
          <w:color w:val="auto"/>
          <w:szCs w:val="32"/>
          <w:lang w:eastAsia="zh-CN"/>
        </w:rPr>
        <w:t>壹亿零陆佰万元</w:t>
      </w:r>
      <w:r>
        <w:rPr>
          <w:rFonts w:hint="eastAsia" w:hAnsi="仿宋_GB2312" w:cs="仿宋_GB2312"/>
          <w:color w:val="auto"/>
          <w:szCs w:val="32"/>
        </w:rPr>
        <w:t>整（</w:t>
      </w:r>
      <w:r>
        <w:rPr>
          <w:rFonts w:hint="eastAsia" w:hAnsi="仿宋_GB2312" w:cs="仿宋_GB2312"/>
          <w:color w:val="auto"/>
          <w:szCs w:val="32"/>
          <w:lang w:val="en-US" w:eastAsia="zh-CN"/>
        </w:rPr>
        <w:t>¥106</w:t>
      </w:r>
      <w:r>
        <w:rPr>
          <w:rFonts w:hint="eastAsia" w:hAnsi="仿宋_GB2312" w:cs="仿宋_GB2312"/>
          <w:szCs w:val="32"/>
        </w:rPr>
        <w:t>,000,000.00</w:t>
      </w:r>
      <w:r>
        <w:rPr>
          <w:rFonts w:hint="eastAsia" w:hAnsi="仿宋_GB2312" w:cs="仿宋_GB2312"/>
          <w:color w:val="auto"/>
          <w:szCs w:val="32"/>
        </w:rPr>
        <w:t>）</w:t>
      </w:r>
      <w:r>
        <w:rPr>
          <w:rFonts w:hint="eastAsia" w:hAnsi="仿宋_GB2312" w:cs="仿宋_GB2312"/>
          <w:color w:val="auto"/>
          <w:szCs w:val="32"/>
          <w:lang w:eastAsia="zh-CN"/>
        </w:rPr>
        <w:t>；</w:t>
      </w:r>
    </w:p>
    <w:p>
      <w:pPr>
        <w:spacing w:line="560" w:lineRule="exact"/>
        <w:ind w:firstLine="640" w:firstLineChars="200"/>
        <w:rPr>
          <w:rFonts w:hint="eastAsia" w:eastAsia="仿宋_GB2312"/>
          <w:lang w:eastAsia="zh-CN"/>
        </w:rPr>
      </w:pPr>
      <w:r>
        <w:rPr>
          <w:rFonts w:hint="eastAsia" w:hAnsi="仿宋_GB2312" w:cs="仿宋_GB2312"/>
          <w:color w:val="auto"/>
          <w:szCs w:val="32"/>
          <w:lang w:eastAsia="zh-CN"/>
        </w:rPr>
        <w:t>台</w:t>
      </w:r>
      <w:r>
        <w:rPr>
          <w:rFonts w:hint="eastAsia" w:hAnsi="仿宋_GB2312" w:cs="仿宋_GB2312"/>
          <w:color w:val="auto"/>
          <w:szCs w:val="32"/>
        </w:rPr>
        <w:t>2024-</w:t>
      </w:r>
      <w:r>
        <w:rPr>
          <w:rFonts w:hint="eastAsia" w:hAnsi="仿宋_GB2312" w:cs="仿宋_GB2312"/>
          <w:color w:val="auto"/>
          <w:szCs w:val="32"/>
          <w:lang w:val="en-US" w:eastAsia="zh-CN"/>
        </w:rPr>
        <w:t>9</w:t>
      </w:r>
      <w:r>
        <w:rPr>
          <w:rFonts w:hint="eastAsia" w:hAnsi="仿宋_GB2312" w:cs="仿宋_GB2312"/>
          <w:color w:val="auto"/>
          <w:szCs w:val="32"/>
        </w:rPr>
        <w:t>号地块的竞买保证金为人民币（大写）</w:t>
      </w:r>
      <w:r>
        <w:rPr>
          <w:rFonts w:hint="eastAsia" w:hAnsi="仿宋_GB2312" w:cs="仿宋_GB2312"/>
          <w:color w:val="auto"/>
          <w:szCs w:val="32"/>
          <w:lang w:eastAsia="zh-CN"/>
        </w:rPr>
        <w:t>伍仟伍佰陆拾万</w:t>
      </w:r>
      <w:r>
        <w:rPr>
          <w:rFonts w:hint="eastAsia" w:hAnsi="仿宋_GB2312" w:cs="仿宋_GB2312"/>
          <w:color w:val="auto"/>
          <w:szCs w:val="32"/>
        </w:rPr>
        <w:t>元整（</w:t>
      </w:r>
      <w:r>
        <w:rPr>
          <w:rFonts w:hint="eastAsia" w:hAnsi="仿宋_GB2312" w:cs="仿宋_GB2312"/>
          <w:color w:val="auto"/>
          <w:szCs w:val="32"/>
          <w:lang w:val="en-US" w:eastAsia="zh-CN"/>
        </w:rPr>
        <w:t>¥55</w:t>
      </w:r>
      <w:r>
        <w:rPr>
          <w:rFonts w:hint="eastAsia" w:hAnsi="仿宋_GB2312" w:cs="仿宋_GB2312"/>
          <w:szCs w:val="32"/>
        </w:rPr>
        <w:t>,</w:t>
      </w:r>
      <w:r>
        <w:rPr>
          <w:rFonts w:hint="eastAsia" w:hAnsi="仿宋_GB2312" w:cs="仿宋_GB2312"/>
          <w:szCs w:val="32"/>
          <w:lang w:val="en-US" w:eastAsia="zh-CN"/>
        </w:rPr>
        <w:t>6</w:t>
      </w:r>
      <w:r>
        <w:rPr>
          <w:rFonts w:hint="eastAsia" w:hAnsi="仿宋_GB2312" w:cs="仿宋_GB2312"/>
          <w:szCs w:val="32"/>
        </w:rPr>
        <w:t>00,000.00</w:t>
      </w:r>
      <w:r>
        <w:rPr>
          <w:rFonts w:hint="eastAsia" w:hAnsi="仿宋_GB2312" w:cs="仿宋_GB2312"/>
          <w:color w:val="auto"/>
          <w:szCs w:val="32"/>
        </w:rPr>
        <w:t>）</w:t>
      </w:r>
      <w:r>
        <w:rPr>
          <w:rFonts w:hint="eastAsia" w:hAnsi="仿宋_GB2312" w:cs="仿宋_GB2312"/>
          <w:color w:val="auto"/>
          <w:szCs w:val="32"/>
          <w:lang w:eastAsia="zh-CN"/>
        </w:rPr>
        <w:t>。</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六、申请和资格审查</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（一）拍卖出让文件索取</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竞买人可于2026年</w:t>
      </w:r>
      <w:r>
        <w:rPr>
          <w:rFonts w:hint="eastAsia" w:hAnsi="仿宋_GB2312" w:cs="仿宋_GB2312"/>
          <w:color w:val="auto"/>
          <w:szCs w:val="32"/>
          <w:lang w:val="en-US" w:eastAsia="zh-CN"/>
        </w:rPr>
        <w:t>5</w:t>
      </w:r>
      <w:r>
        <w:rPr>
          <w:rFonts w:hint="eastAsia" w:hAnsi="仿宋_GB2312" w:cs="仿宋_GB2312"/>
          <w:color w:val="auto"/>
          <w:szCs w:val="32"/>
        </w:rPr>
        <w:t>月</w:t>
      </w:r>
      <w:r>
        <w:rPr>
          <w:rFonts w:hint="eastAsia" w:hAnsi="仿宋_GB2312" w:cs="仿宋_GB2312"/>
          <w:color w:val="auto"/>
          <w:szCs w:val="32"/>
          <w:lang w:val="en-US" w:eastAsia="zh-CN"/>
        </w:rPr>
        <w:t>7</w:t>
      </w:r>
      <w:r>
        <w:rPr>
          <w:rFonts w:hint="eastAsia" w:hAnsi="仿宋_GB2312" w:cs="仿宋_GB2312"/>
          <w:color w:val="auto"/>
          <w:szCs w:val="32"/>
        </w:rPr>
        <w:t>日至2026年</w:t>
      </w:r>
      <w:r>
        <w:rPr>
          <w:rFonts w:hint="eastAsia" w:hAnsi="仿宋_GB2312" w:cs="仿宋_GB2312"/>
          <w:color w:val="auto"/>
          <w:szCs w:val="32"/>
          <w:lang w:val="en-US" w:eastAsia="zh-CN"/>
        </w:rPr>
        <w:t>5</w:t>
      </w:r>
      <w:r>
        <w:rPr>
          <w:rFonts w:hint="eastAsia" w:hAnsi="仿宋_GB2312" w:cs="仿宋_GB2312"/>
          <w:color w:val="auto"/>
          <w:szCs w:val="32"/>
        </w:rPr>
        <w:t>月</w:t>
      </w:r>
      <w:r>
        <w:rPr>
          <w:rFonts w:hint="eastAsia" w:hAnsi="仿宋_GB2312" w:cs="仿宋_GB2312"/>
          <w:color w:val="auto"/>
          <w:szCs w:val="32"/>
          <w:lang w:val="en-US" w:eastAsia="zh-CN"/>
        </w:rPr>
        <w:t>20</w:t>
      </w:r>
      <w:r>
        <w:rPr>
          <w:rFonts w:hint="eastAsia" w:hAnsi="仿宋_GB2312" w:cs="仿宋_GB2312"/>
          <w:color w:val="auto"/>
          <w:szCs w:val="32"/>
        </w:rPr>
        <w:t>日，到泉州市丰泽区海星街100号东海大厦A幢市政务服务中心4楼450室购买索取本次拍卖出让文件，具体包括：</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1.国有建设用地使用权出让公告(泉自然资告字〔2026〕</w:t>
      </w:r>
      <w:r>
        <w:rPr>
          <w:rFonts w:hint="eastAsia" w:hAnsi="仿宋_GB2312" w:cs="仿宋_GB2312"/>
          <w:color w:val="auto"/>
          <w:szCs w:val="32"/>
          <w:lang w:val="en-US" w:eastAsia="zh-CN"/>
        </w:rPr>
        <w:t>9</w:t>
      </w:r>
      <w:r>
        <w:rPr>
          <w:rFonts w:hint="eastAsia" w:hAnsi="仿宋_GB2312" w:cs="仿宋_GB2312"/>
          <w:color w:val="auto"/>
          <w:szCs w:val="32"/>
        </w:rPr>
        <w:t>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2.国有建设用地使用权拍卖出让须知</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3.泉州市自然资源和规划局规划设计条件文件（复印件）</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4.竞买申请书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5.竞买承诺书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6.法定代表人身份证明书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7.授权委托书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8.竞买资格确认书（样本）</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9.成交确认书（样本）</w:t>
      </w:r>
    </w:p>
    <w:p>
      <w:pPr>
        <w:spacing w:line="560" w:lineRule="exact"/>
        <w:ind w:firstLine="640" w:firstLineChars="200"/>
        <w:rPr>
          <w:rFonts w:hAnsi="仿宋_GB2312" w:cs="仿宋_GB2312"/>
          <w:color w:val="auto"/>
          <w:szCs w:val="32"/>
        </w:rPr>
      </w:pPr>
      <w:r>
        <w:rPr>
          <w:rFonts w:hint="eastAsia" w:hAnsi="仿宋_GB2312" w:cs="仿宋_GB2312"/>
          <w:color w:val="auto"/>
          <w:szCs w:val="32"/>
        </w:rPr>
        <w:t>10.地块宗地图（复印件）</w:t>
      </w:r>
    </w:p>
    <w:p>
      <w:pPr>
        <w:spacing w:line="520" w:lineRule="exact"/>
        <w:ind w:firstLine="640" w:firstLineChars="200"/>
        <w:rPr>
          <w:rFonts w:hint="eastAsia" w:hAnsi="仿宋_GB2312" w:cs="仿宋_GB2312"/>
          <w:color w:val="auto"/>
          <w:szCs w:val="32"/>
        </w:rPr>
      </w:pPr>
      <w:r>
        <w:rPr>
          <w:rFonts w:hint="eastAsia" w:hAnsi="仿宋_GB2312" w:cs="仿宋_GB2312"/>
          <w:color w:val="auto"/>
          <w:szCs w:val="32"/>
        </w:rPr>
        <w:t>11.泉州市自然资源和规划局用地红线图（复印件）</w:t>
      </w:r>
    </w:p>
    <w:p>
      <w:pPr>
        <w:spacing w:line="520" w:lineRule="exact"/>
        <w:ind w:firstLine="640" w:firstLineChars="200"/>
        <w:rPr>
          <w:rFonts w:hint="eastAsia" w:hAnsi="仿宋_GB2312" w:cs="仿宋_GB2312"/>
          <w:color w:val="auto"/>
          <w:szCs w:val="32"/>
        </w:rPr>
      </w:pPr>
      <w:r>
        <w:rPr>
          <w:rFonts w:hint="eastAsia" w:hAnsi="仿宋_GB2312" w:cs="仿宋_GB2312"/>
          <w:color w:val="auto"/>
          <w:szCs w:val="32"/>
        </w:rPr>
        <w:t>12.《住宅用地竞买保证金、成交价款来源情况申报表》</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（二）提交申请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竞买人应于2026年</w:t>
      </w:r>
      <w:r>
        <w:rPr>
          <w:rFonts w:hint="eastAsia" w:hAnsi="仿宋_GB2312" w:cs="仿宋_GB2312"/>
          <w:color w:val="auto"/>
          <w:szCs w:val="32"/>
          <w:lang w:val="en-US" w:eastAsia="zh-CN"/>
        </w:rPr>
        <w:t>5</w:t>
      </w:r>
      <w:r>
        <w:rPr>
          <w:rFonts w:hint="eastAsia" w:hAnsi="仿宋_GB2312" w:cs="仿宋_GB2312"/>
          <w:color w:val="auto"/>
          <w:szCs w:val="32"/>
        </w:rPr>
        <w:t>月</w:t>
      </w:r>
      <w:r>
        <w:rPr>
          <w:rFonts w:hint="eastAsia" w:hAnsi="仿宋_GB2312" w:cs="仿宋_GB2312"/>
          <w:color w:val="auto"/>
          <w:szCs w:val="32"/>
          <w:lang w:val="en-US" w:eastAsia="zh-CN"/>
        </w:rPr>
        <w:t>20</w:t>
      </w:r>
      <w:r>
        <w:rPr>
          <w:rFonts w:hint="eastAsia" w:hAnsi="仿宋_GB2312" w:cs="仿宋_GB2312"/>
          <w:color w:val="auto"/>
          <w:szCs w:val="32"/>
        </w:rPr>
        <w:t>日17时前，到泉州市丰泽区海星街100号东海大厦A幢市政务服务中心4楼450室提交书面申请（不接受邮寄、电子邮件及口头竞买报名），</w:t>
      </w:r>
      <w:r>
        <w:rPr>
          <w:rFonts w:hint="eastAsia" w:hAnsi="仿宋_GB2312" w:cs="仿宋_GB2312"/>
          <w:b/>
          <w:color w:val="auto"/>
          <w:szCs w:val="32"/>
        </w:rPr>
        <w:t>所有申请文件必须为正本一式二份。</w:t>
      </w:r>
      <w:r>
        <w:rPr>
          <w:rFonts w:hint="eastAsia" w:hAnsi="仿宋_GB2312" w:cs="仿宋_GB2312"/>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w:t>
      </w:r>
      <w:r>
        <w:rPr>
          <w:rFonts w:hint="eastAsia" w:ascii="Times New Roman" w:eastAsia="仿宋"/>
          <w:color w:val="auto"/>
          <w:szCs w:val="32"/>
        </w:rPr>
        <w:t>《住宅用地竞买保证金、成交价款来源情况申报表》</w:t>
      </w:r>
      <w:r>
        <w:rPr>
          <w:rFonts w:hint="eastAsia" w:ascii="Times New Roman" w:eastAsia="仿宋"/>
          <w:color w:val="auto"/>
          <w:szCs w:val="32"/>
          <w:lang w:eastAsia="zh-CN"/>
        </w:rPr>
        <w:t>或</w:t>
      </w:r>
      <w:r>
        <w:rPr>
          <w:rFonts w:ascii="Times New Roman" w:eastAsia="仿宋"/>
          <w:color w:val="auto"/>
          <w:szCs w:val="32"/>
        </w:rPr>
        <w:t>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2</w:t>
      </w:r>
      <w:r>
        <w:rPr>
          <w:rFonts w:ascii="Times New Roman" w:eastAsia="仿宋"/>
          <w:color w:val="auto"/>
          <w:szCs w:val="32"/>
        </w:rPr>
        <w:t>．</w:t>
      </w:r>
      <w:r>
        <w:rPr>
          <w:rFonts w:eastAsia="仿宋"/>
          <w:color w:val="auto"/>
          <w:szCs w:val="32"/>
        </w:rPr>
        <w:t>自然人</w:t>
      </w:r>
      <w:r>
        <w:rPr>
          <w:rFonts w:ascii="Times New Roman" w:eastAsia="仿宋"/>
          <w:color w:val="auto"/>
          <w:szCs w:val="32"/>
        </w:rPr>
        <w:t>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（4）申请人有效身份证明文件；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w:t>
      </w:r>
      <w:r>
        <w:rPr>
          <w:rFonts w:hint="eastAsia" w:ascii="Times New Roman" w:eastAsia="仿宋"/>
          <w:color w:val="auto"/>
          <w:szCs w:val="32"/>
        </w:rPr>
        <w:t>《住宅用地竞买保证金、成交价款来源情况申报表》</w:t>
      </w:r>
      <w:r>
        <w:rPr>
          <w:rFonts w:hint="eastAsia" w:ascii="Times New Roman" w:eastAsia="仿宋"/>
          <w:color w:val="auto"/>
          <w:szCs w:val="32"/>
          <w:lang w:eastAsia="zh-CN"/>
        </w:rPr>
        <w:t>或</w:t>
      </w:r>
      <w:r>
        <w:rPr>
          <w:rFonts w:ascii="Times New Roman" w:eastAsia="仿宋"/>
          <w:color w:val="auto"/>
          <w:szCs w:val="32"/>
        </w:rPr>
        <w:t>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w:t>
      </w:r>
      <w:r>
        <w:rPr>
          <w:rFonts w:hint="eastAsia" w:ascii="Times New Roman" w:eastAsia="仿宋"/>
          <w:color w:val="auto"/>
          <w:szCs w:val="32"/>
        </w:rPr>
        <w:t>《住宅用地竞买保证金、成交价款来源情况申报表》</w:t>
      </w:r>
      <w:r>
        <w:rPr>
          <w:rFonts w:hint="eastAsia" w:ascii="Times New Roman" w:eastAsia="仿宋"/>
          <w:color w:val="auto"/>
          <w:szCs w:val="32"/>
          <w:lang w:eastAsia="zh-CN"/>
        </w:rPr>
        <w:t>或</w:t>
      </w:r>
      <w:r>
        <w:rPr>
          <w:rFonts w:ascii="Times New Roman" w:eastAsia="仿宋"/>
          <w:color w:val="auto"/>
          <w:szCs w:val="32"/>
        </w:rPr>
        <w:t>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（三）资格审查</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经审查，有下列情形之一的，为无效申请：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1.竞买人不具备竞买资格的；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2.未按规定交纳竞买保证金的；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3.申请文件不齐全或不符合规定的；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4.委托他人代理，委托文件不齐全或不符合规定的；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5.竞买人违反《竞买承诺书》中约定的；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6.法律法规规定的其他情形。</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（四）确认竞买人资格</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（五）答疑及现场踏勘</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竞买人对拍卖出让文件有疑问的，可以在拍卖会开始前以书面或者口头方式向我局咨询。我局于2026年</w:t>
      </w:r>
      <w:r>
        <w:rPr>
          <w:rFonts w:hint="eastAsia" w:hAnsi="仿宋_GB2312" w:cs="仿宋_GB2312"/>
          <w:color w:val="auto"/>
          <w:szCs w:val="32"/>
          <w:lang w:val="en-US" w:eastAsia="zh-CN"/>
        </w:rPr>
        <w:t>5</w:t>
      </w:r>
      <w:r>
        <w:rPr>
          <w:rFonts w:hint="eastAsia" w:hAnsi="仿宋_GB2312" w:cs="仿宋_GB2312"/>
          <w:color w:val="auto"/>
          <w:szCs w:val="32"/>
        </w:rPr>
        <w:t>月</w:t>
      </w:r>
      <w:r>
        <w:rPr>
          <w:rFonts w:hint="eastAsia" w:hAnsi="仿宋_GB2312" w:cs="仿宋_GB2312"/>
          <w:color w:val="auto"/>
          <w:szCs w:val="32"/>
          <w:lang w:val="en-US" w:eastAsia="zh-CN"/>
        </w:rPr>
        <w:t>7</w:t>
      </w:r>
      <w:r>
        <w:rPr>
          <w:rFonts w:hint="eastAsia" w:hAnsi="仿宋_GB2312" w:cs="仿宋_GB2312"/>
          <w:color w:val="auto"/>
          <w:szCs w:val="32"/>
        </w:rPr>
        <w:t>日至2026年</w:t>
      </w:r>
      <w:r>
        <w:rPr>
          <w:rFonts w:hint="eastAsia" w:hAnsi="仿宋_GB2312" w:cs="仿宋_GB2312"/>
          <w:color w:val="auto"/>
          <w:szCs w:val="32"/>
          <w:lang w:val="en-US" w:eastAsia="zh-CN"/>
        </w:rPr>
        <w:t>5</w:t>
      </w:r>
      <w:r>
        <w:rPr>
          <w:rFonts w:hint="eastAsia" w:hAnsi="仿宋_GB2312" w:cs="仿宋_GB2312"/>
          <w:color w:val="auto"/>
          <w:szCs w:val="32"/>
        </w:rPr>
        <w:t>月</w:t>
      </w:r>
      <w:r>
        <w:rPr>
          <w:rFonts w:hint="eastAsia" w:hAnsi="仿宋_GB2312" w:cs="仿宋_GB2312"/>
          <w:color w:val="auto"/>
          <w:szCs w:val="32"/>
          <w:lang w:val="en-US" w:eastAsia="zh-CN"/>
        </w:rPr>
        <w:t>8</w:t>
      </w:r>
      <w:r>
        <w:rPr>
          <w:rFonts w:hint="eastAsia" w:hAnsi="仿宋_GB2312" w:cs="仿宋_GB2312"/>
          <w:color w:val="auto"/>
          <w:szCs w:val="32"/>
        </w:rPr>
        <w:t>日组织竞买人对拟出让地块进行现场踏勘。需由我局派员陪同实地踏勘的，请提前与我局联系（联系电话：0595－22769012）。</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七、宗地的拍卖起叫价和增价幅度</w:t>
      </w:r>
    </w:p>
    <w:p>
      <w:pPr>
        <w:spacing w:line="520" w:lineRule="exact"/>
        <w:ind w:firstLine="640" w:firstLineChars="200"/>
        <w:rPr>
          <w:rFonts w:hint="eastAsia" w:hAnsi="仿宋_GB2312" w:cs="仿宋_GB2312"/>
          <w:color w:val="auto"/>
          <w:szCs w:val="32"/>
          <w:lang w:eastAsia="zh-CN"/>
        </w:rPr>
      </w:pPr>
      <w:r>
        <w:rPr>
          <w:rFonts w:hint="eastAsia" w:hAnsi="仿宋_GB2312" w:cs="仿宋_GB2312"/>
          <w:color w:val="auto"/>
          <w:szCs w:val="32"/>
          <w:lang w:eastAsia="zh-CN"/>
        </w:rPr>
        <w:t>丰</w:t>
      </w:r>
      <w:r>
        <w:rPr>
          <w:rFonts w:hint="eastAsia" w:hAnsi="仿宋_GB2312" w:cs="仿宋_GB2312"/>
          <w:color w:val="auto"/>
          <w:szCs w:val="32"/>
        </w:rPr>
        <w:t>202</w:t>
      </w:r>
      <w:r>
        <w:rPr>
          <w:rFonts w:hint="eastAsia" w:hAnsi="仿宋_GB2312" w:cs="仿宋_GB2312"/>
          <w:color w:val="auto"/>
          <w:szCs w:val="32"/>
          <w:lang w:val="en-US" w:eastAsia="zh-CN"/>
        </w:rPr>
        <w:t>6</w:t>
      </w:r>
      <w:r>
        <w:rPr>
          <w:rFonts w:hint="eastAsia" w:hAnsi="仿宋_GB2312" w:cs="仿宋_GB2312"/>
          <w:color w:val="auto"/>
          <w:szCs w:val="32"/>
        </w:rPr>
        <w:t>-</w:t>
      </w:r>
      <w:r>
        <w:rPr>
          <w:rFonts w:hint="eastAsia" w:hAnsi="仿宋_GB2312" w:cs="仿宋_GB2312"/>
          <w:color w:val="auto"/>
          <w:szCs w:val="32"/>
          <w:lang w:val="en-US" w:eastAsia="zh-CN"/>
        </w:rPr>
        <w:t>5</w:t>
      </w:r>
      <w:r>
        <w:rPr>
          <w:rFonts w:hint="eastAsia" w:hAnsi="仿宋_GB2312" w:cs="仿宋_GB2312"/>
          <w:color w:val="auto"/>
          <w:szCs w:val="32"/>
        </w:rPr>
        <w:t>号地块，起叫价为人民币（大写）</w:t>
      </w:r>
      <w:r>
        <w:rPr>
          <w:rFonts w:hint="eastAsia" w:hAnsi="仿宋_GB2312" w:cs="仿宋_GB2312"/>
          <w:color w:val="auto"/>
          <w:szCs w:val="32"/>
          <w:lang w:eastAsia="zh-CN"/>
        </w:rPr>
        <w:t>柒亿壹仟叁佰万</w:t>
      </w:r>
      <w:r>
        <w:rPr>
          <w:rFonts w:hint="eastAsia" w:hAnsi="仿宋_GB2312" w:cs="仿宋_GB2312"/>
          <w:color w:val="auto"/>
          <w:szCs w:val="32"/>
        </w:rPr>
        <w:t>元整（</w:t>
      </w:r>
      <w:r>
        <w:rPr>
          <w:rFonts w:hint="eastAsia" w:hAnsi="仿宋_GB2312" w:cs="仿宋_GB2312"/>
          <w:color w:val="auto"/>
          <w:szCs w:val="32"/>
          <w:lang w:val="en-US" w:eastAsia="zh-CN"/>
        </w:rPr>
        <w:t>¥713</w:t>
      </w:r>
      <w:r>
        <w:rPr>
          <w:rFonts w:hint="eastAsia" w:hAnsi="仿宋_GB2312" w:cs="仿宋_GB2312"/>
          <w:szCs w:val="32"/>
        </w:rPr>
        <w:t>,</w:t>
      </w:r>
      <w:r>
        <w:rPr>
          <w:rFonts w:hint="eastAsia" w:hAnsi="仿宋_GB2312" w:cs="仿宋_GB2312"/>
          <w:szCs w:val="32"/>
          <w:lang w:val="en-US" w:eastAsia="zh-CN"/>
        </w:rPr>
        <w:t>0</w:t>
      </w:r>
      <w:r>
        <w:rPr>
          <w:rFonts w:hint="eastAsia" w:hAnsi="仿宋_GB2312" w:cs="仿宋_GB2312"/>
          <w:szCs w:val="32"/>
        </w:rPr>
        <w:t>00,000.00</w:t>
      </w:r>
      <w:r>
        <w:rPr>
          <w:rFonts w:hint="eastAsia" w:hAnsi="仿宋_GB2312" w:cs="仿宋_GB2312"/>
          <w:color w:val="auto"/>
          <w:szCs w:val="32"/>
        </w:rPr>
        <w:t>），增价幅度为人民币（大写）</w:t>
      </w:r>
      <w:r>
        <w:rPr>
          <w:rFonts w:hint="eastAsia" w:hAnsi="仿宋_GB2312" w:cs="仿宋_GB2312"/>
          <w:color w:val="auto"/>
          <w:szCs w:val="32"/>
          <w:lang w:eastAsia="zh-CN"/>
        </w:rPr>
        <w:t>贰</w:t>
      </w:r>
      <w:r>
        <w:rPr>
          <w:rFonts w:hint="eastAsia" w:hAnsi="仿宋_GB2312" w:cs="仿宋_GB2312"/>
          <w:color w:val="auto"/>
          <w:szCs w:val="32"/>
        </w:rPr>
        <w:t>佰万元整（</w:t>
      </w:r>
      <w:r>
        <w:rPr>
          <w:rFonts w:hint="eastAsia" w:hAnsi="仿宋_GB2312" w:cs="仿宋_GB2312"/>
          <w:color w:val="auto"/>
          <w:szCs w:val="32"/>
          <w:lang w:val="en-US" w:eastAsia="zh-CN"/>
        </w:rPr>
        <w:t>¥2</w:t>
      </w:r>
      <w:r>
        <w:rPr>
          <w:rFonts w:hint="eastAsia" w:hAnsi="仿宋_GB2312" w:cs="仿宋_GB2312"/>
          <w:color w:val="auto"/>
          <w:szCs w:val="32"/>
        </w:rPr>
        <w:t>,000,000.00）或</w:t>
      </w:r>
      <w:r>
        <w:rPr>
          <w:rFonts w:hint="eastAsia" w:hAnsi="仿宋_GB2312" w:cs="仿宋_GB2312"/>
          <w:color w:val="auto"/>
          <w:szCs w:val="32"/>
          <w:lang w:val="en-US" w:eastAsia="zh-CN"/>
        </w:rPr>
        <w:t>2</w:t>
      </w:r>
      <w:r>
        <w:rPr>
          <w:rFonts w:hint="eastAsia" w:hAnsi="仿宋_GB2312" w:cs="仿宋_GB2312"/>
          <w:color w:val="auto"/>
          <w:szCs w:val="32"/>
        </w:rPr>
        <w:t>00万元整数倍金额</w:t>
      </w:r>
      <w:r>
        <w:rPr>
          <w:rFonts w:hint="eastAsia" w:hAnsi="仿宋_GB2312" w:cs="仿宋_GB2312"/>
          <w:color w:val="auto"/>
          <w:szCs w:val="32"/>
          <w:lang w:eastAsia="zh-CN"/>
        </w:rPr>
        <w:t>；</w:t>
      </w:r>
    </w:p>
    <w:p>
      <w:pPr>
        <w:spacing w:line="520" w:lineRule="exact"/>
        <w:ind w:firstLine="640" w:firstLineChars="200"/>
        <w:rPr>
          <w:rFonts w:hint="eastAsia" w:hAnsi="仿宋_GB2312" w:eastAsia="仿宋_GB2312" w:cs="仿宋_GB2312"/>
          <w:color w:val="auto"/>
          <w:szCs w:val="32"/>
          <w:lang w:eastAsia="zh-CN"/>
        </w:rPr>
      </w:pPr>
      <w:r>
        <w:rPr>
          <w:rFonts w:hint="eastAsia" w:hAnsi="仿宋_GB2312" w:cs="仿宋_GB2312"/>
          <w:color w:val="auto"/>
          <w:szCs w:val="32"/>
          <w:lang w:eastAsia="zh-CN"/>
        </w:rPr>
        <w:t>丰</w:t>
      </w:r>
      <w:r>
        <w:rPr>
          <w:rFonts w:hint="eastAsia" w:hAnsi="仿宋_GB2312" w:cs="仿宋_GB2312"/>
          <w:color w:val="auto"/>
          <w:szCs w:val="32"/>
        </w:rPr>
        <w:t>2024-</w:t>
      </w:r>
      <w:r>
        <w:rPr>
          <w:rFonts w:hint="eastAsia" w:hAnsi="仿宋_GB2312" w:cs="仿宋_GB2312"/>
          <w:color w:val="auto"/>
          <w:szCs w:val="32"/>
          <w:lang w:val="en-US" w:eastAsia="zh-CN"/>
        </w:rPr>
        <w:t>27-2</w:t>
      </w:r>
      <w:r>
        <w:rPr>
          <w:rFonts w:hint="eastAsia" w:hAnsi="仿宋_GB2312" w:cs="仿宋_GB2312"/>
          <w:color w:val="auto"/>
          <w:szCs w:val="32"/>
        </w:rPr>
        <w:t>号地块，起叫价为人民币（大写）</w:t>
      </w:r>
      <w:r>
        <w:rPr>
          <w:rFonts w:hint="eastAsia" w:hAnsi="仿宋_GB2312" w:cs="仿宋_GB2312"/>
          <w:color w:val="auto"/>
          <w:szCs w:val="32"/>
          <w:lang w:eastAsia="zh-CN"/>
        </w:rPr>
        <w:t>柒亿贰仟伍佰万</w:t>
      </w:r>
      <w:r>
        <w:rPr>
          <w:rFonts w:hint="eastAsia" w:hAnsi="仿宋_GB2312" w:cs="仿宋_GB2312"/>
          <w:color w:val="auto"/>
          <w:szCs w:val="32"/>
        </w:rPr>
        <w:t>元整（</w:t>
      </w:r>
      <w:r>
        <w:rPr>
          <w:rFonts w:hint="eastAsia" w:hAnsi="仿宋_GB2312" w:cs="仿宋_GB2312"/>
          <w:color w:val="auto"/>
          <w:szCs w:val="32"/>
          <w:lang w:val="en-US" w:eastAsia="zh-CN"/>
        </w:rPr>
        <w:t>¥725</w:t>
      </w:r>
      <w:r>
        <w:rPr>
          <w:rFonts w:hint="eastAsia" w:hAnsi="仿宋_GB2312" w:cs="仿宋_GB2312"/>
          <w:szCs w:val="32"/>
        </w:rPr>
        <w:t>,</w:t>
      </w:r>
      <w:r>
        <w:rPr>
          <w:rFonts w:hint="eastAsia" w:hAnsi="仿宋_GB2312" w:cs="仿宋_GB2312"/>
          <w:szCs w:val="32"/>
          <w:lang w:val="en-US" w:eastAsia="zh-CN"/>
        </w:rPr>
        <w:t>0</w:t>
      </w:r>
      <w:r>
        <w:rPr>
          <w:rFonts w:hint="eastAsia" w:hAnsi="仿宋_GB2312" w:cs="仿宋_GB2312"/>
          <w:szCs w:val="32"/>
        </w:rPr>
        <w:t>00,000.00</w:t>
      </w:r>
      <w:r>
        <w:rPr>
          <w:rFonts w:hint="eastAsia" w:hAnsi="仿宋_GB2312" w:cs="仿宋_GB2312"/>
          <w:color w:val="auto"/>
          <w:szCs w:val="32"/>
        </w:rPr>
        <w:t>），增价幅度为人民币（大写）</w:t>
      </w:r>
      <w:r>
        <w:rPr>
          <w:rFonts w:hint="eastAsia" w:hAnsi="仿宋_GB2312" w:cs="仿宋_GB2312"/>
          <w:color w:val="auto"/>
          <w:szCs w:val="32"/>
          <w:lang w:eastAsia="zh-CN"/>
        </w:rPr>
        <w:t>贰</w:t>
      </w:r>
      <w:r>
        <w:rPr>
          <w:rFonts w:hint="eastAsia" w:hAnsi="仿宋_GB2312" w:cs="仿宋_GB2312"/>
          <w:color w:val="auto"/>
          <w:szCs w:val="32"/>
        </w:rPr>
        <w:t>佰万元整（</w:t>
      </w:r>
      <w:r>
        <w:rPr>
          <w:rFonts w:hint="eastAsia" w:hAnsi="仿宋_GB2312" w:cs="仿宋_GB2312"/>
          <w:color w:val="auto"/>
          <w:szCs w:val="32"/>
          <w:lang w:val="en-US" w:eastAsia="zh-CN"/>
        </w:rPr>
        <w:t>¥2</w:t>
      </w:r>
      <w:r>
        <w:rPr>
          <w:rFonts w:hint="eastAsia" w:hAnsi="仿宋_GB2312" w:cs="仿宋_GB2312"/>
          <w:color w:val="auto"/>
          <w:szCs w:val="32"/>
        </w:rPr>
        <w:t>,000,000.00）或</w:t>
      </w:r>
      <w:r>
        <w:rPr>
          <w:rFonts w:hint="eastAsia" w:hAnsi="仿宋_GB2312" w:cs="仿宋_GB2312"/>
          <w:color w:val="auto"/>
          <w:szCs w:val="32"/>
          <w:lang w:val="en-US" w:eastAsia="zh-CN"/>
        </w:rPr>
        <w:t>2</w:t>
      </w:r>
      <w:r>
        <w:rPr>
          <w:rFonts w:hint="eastAsia" w:hAnsi="仿宋_GB2312" w:cs="仿宋_GB2312"/>
          <w:color w:val="auto"/>
          <w:szCs w:val="32"/>
        </w:rPr>
        <w:t>00万元整数倍金额</w:t>
      </w:r>
      <w:r>
        <w:rPr>
          <w:rFonts w:hint="eastAsia" w:hAnsi="仿宋_GB2312" w:cs="仿宋_GB2312"/>
          <w:color w:val="auto"/>
          <w:szCs w:val="32"/>
          <w:lang w:eastAsia="zh-CN"/>
        </w:rPr>
        <w:t>；</w:t>
      </w:r>
    </w:p>
    <w:p>
      <w:pPr>
        <w:spacing w:line="520" w:lineRule="exact"/>
        <w:ind w:firstLine="640" w:firstLineChars="200"/>
        <w:rPr>
          <w:rFonts w:hint="eastAsia" w:hAnsi="仿宋_GB2312" w:eastAsia="仿宋_GB2312" w:cs="仿宋_GB2312"/>
          <w:color w:val="auto"/>
          <w:szCs w:val="32"/>
          <w:lang w:eastAsia="zh-CN"/>
        </w:rPr>
      </w:pPr>
      <w:r>
        <w:rPr>
          <w:rFonts w:hint="eastAsia" w:hAnsi="仿宋_GB2312" w:cs="仿宋_GB2312"/>
          <w:color w:val="auto"/>
          <w:szCs w:val="32"/>
        </w:rPr>
        <w:t>鲤2024-</w:t>
      </w:r>
      <w:r>
        <w:rPr>
          <w:rFonts w:hint="eastAsia" w:hAnsi="仿宋_GB2312" w:cs="仿宋_GB2312"/>
          <w:color w:val="auto"/>
          <w:szCs w:val="32"/>
          <w:lang w:val="en-US" w:eastAsia="zh-CN"/>
        </w:rPr>
        <w:t>12</w:t>
      </w:r>
      <w:r>
        <w:rPr>
          <w:rFonts w:hint="eastAsia" w:hAnsi="仿宋_GB2312" w:cs="仿宋_GB2312"/>
          <w:color w:val="auto"/>
          <w:szCs w:val="32"/>
        </w:rPr>
        <w:t>号地块，起叫价为人民币（大写）</w:t>
      </w:r>
      <w:r>
        <w:rPr>
          <w:rFonts w:hint="eastAsia" w:hAnsi="仿宋_GB2312" w:cs="仿宋_GB2312"/>
          <w:color w:val="auto"/>
          <w:szCs w:val="32"/>
          <w:lang w:eastAsia="zh-CN"/>
        </w:rPr>
        <w:t>伍亿叁仟万</w:t>
      </w:r>
      <w:r>
        <w:rPr>
          <w:rFonts w:hint="eastAsia" w:hAnsi="仿宋_GB2312" w:cs="仿宋_GB2312"/>
          <w:color w:val="auto"/>
          <w:szCs w:val="32"/>
        </w:rPr>
        <w:t>元整（</w:t>
      </w:r>
      <w:r>
        <w:rPr>
          <w:rFonts w:hint="eastAsia" w:hAnsi="仿宋_GB2312" w:cs="仿宋_GB2312"/>
          <w:color w:val="auto"/>
          <w:szCs w:val="32"/>
          <w:lang w:val="en-US" w:eastAsia="zh-CN"/>
        </w:rPr>
        <w:t>¥530</w:t>
      </w:r>
      <w:r>
        <w:rPr>
          <w:rFonts w:hint="eastAsia" w:hAnsi="仿宋_GB2312" w:cs="仿宋_GB2312"/>
          <w:szCs w:val="32"/>
        </w:rPr>
        <w:t>,</w:t>
      </w:r>
      <w:r>
        <w:rPr>
          <w:rFonts w:hint="eastAsia" w:hAnsi="仿宋_GB2312" w:cs="仿宋_GB2312"/>
          <w:szCs w:val="32"/>
          <w:lang w:val="en-US" w:eastAsia="zh-CN"/>
        </w:rPr>
        <w:t>0</w:t>
      </w:r>
      <w:r>
        <w:rPr>
          <w:rFonts w:hint="eastAsia" w:hAnsi="仿宋_GB2312" w:cs="仿宋_GB2312"/>
          <w:szCs w:val="32"/>
        </w:rPr>
        <w:t>00,000.00</w:t>
      </w:r>
      <w:r>
        <w:rPr>
          <w:rFonts w:hint="eastAsia" w:hAnsi="仿宋_GB2312" w:cs="仿宋_GB2312"/>
          <w:color w:val="auto"/>
          <w:szCs w:val="32"/>
        </w:rPr>
        <w:t>），增价幅度为人民币（大写）壹佰万元整（</w:t>
      </w:r>
      <w:r>
        <w:rPr>
          <w:rFonts w:hint="eastAsia" w:hAnsi="仿宋_GB2312" w:cs="仿宋_GB2312"/>
          <w:color w:val="auto"/>
          <w:szCs w:val="32"/>
          <w:lang w:val="en-US" w:eastAsia="zh-CN"/>
        </w:rPr>
        <w:t>¥</w:t>
      </w:r>
      <w:r>
        <w:rPr>
          <w:rFonts w:hint="eastAsia" w:hAnsi="仿宋_GB2312" w:cs="仿宋_GB2312"/>
          <w:color w:val="auto"/>
          <w:szCs w:val="32"/>
        </w:rPr>
        <w:t>1,000,000.00）或100万元整数倍金额</w:t>
      </w:r>
      <w:r>
        <w:rPr>
          <w:rFonts w:hint="eastAsia" w:hAnsi="仿宋_GB2312" w:cs="仿宋_GB2312"/>
          <w:color w:val="auto"/>
          <w:szCs w:val="32"/>
          <w:lang w:eastAsia="zh-CN"/>
        </w:rPr>
        <w:t>；</w:t>
      </w:r>
    </w:p>
    <w:p>
      <w:pPr>
        <w:spacing w:line="520" w:lineRule="exact"/>
        <w:ind w:firstLine="640" w:firstLineChars="200"/>
        <w:rPr>
          <w:rFonts w:hint="eastAsia"/>
          <w:lang w:eastAsia="zh-CN"/>
        </w:rPr>
      </w:pPr>
      <w:r>
        <w:rPr>
          <w:rFonts w:hint="eastAsia" w:hAnsi="仿宋_GB2312" w:cs="仿宋_GB2312"/>
          <w:color w:val="auto"/>
          <w:szCs w:val="32"/>
          <w:lang w:eastAsia="zh-CN"/>
        </w:rPr>
        <w:t>台</w:t>
      </w:r>
      <w:r>
        <w:rPr>
          <w:rFonts w:hint="eastAsia" w:hAnsi="仿宋_GB2312" w:cs="仿宋_GB2312"/>
          <w:color w:val="auto"/>
          <w:szCs w:val="32"/>
        </w:rPr>
        <w:t>2024-</w:t>
      </w:r>
      <w:r>
        <w:rPr>
          <w:rFonts w:hint="eastAsia" w:hAnsi="仿宋_GB2312" w:cs="仿宋_GB2312"/>
          <w:color w:val="auto"/>
          <w:szCs w:val="32"/>
          <w:lang w:val="en-US" w:eastAsia="zh-CN"/>
        </w:rPr>
        <w:t>9</w:t>
      </w:r>
      <w:r>
        <w:rPr>
          <w:rFonts w:hint="eastAsia" w:hAnsi="仿宋_GB2312" w:cs="仿宋_GB2312"/>
          <w:color w:val="auto"/>
          <w:szCs w:val="32"/>
        </w:rPr>
        <w:t>号地块，起叫价为人民币（大写）</w:t>
      </w:r>
      <w:r>
        <w:rPr>
          <w:rFonts w:hint="eastAsia" w:hAnsi="仿宋_GB2312" w:cs="仿宋_GB2312"/>
          <w:color w:val="auto"/>
          <w:szCs w:val="32"/>
          <w:lang w:eastAsia="zh-CN"/>
        </w:rPr>
        <w:t>贰亿柒仟捌佰万</w:t>
      </w:r>
      <w:r>
        <w:rPr>
          <w:rFonts w:hint="eastAsia" w:hAnsi="仿宋_GB2312" w:cs="仿宋_GB2312"/>
          <w:color w:val="auto"/>
          <w:szCs w:val="32"/>
        </w:rPr>
        <w:t>元整（</w:t>
      </w:r>
      <w:r>
        <w:rPr>
          <w:rFonts w:hint="eastAsia" w:hAnsi="仿宋_GB2312" w:cs="仿宋_GB2312"/>
          <w:color w:val="auto"/>
          <w:szCs w:val="32"/>
          <w:lang w:val="en-US" w:eastAsia="zh-CN"/>
        </w:rPr>
        <w:t>¥278</w:t>
      </w:r>
      <w:r>
        <w:rPr>
          <w:rFonts w:hint="eastAsia" w:hAnsi="仿宋_GB2312" w:cs="仿宋_GB2312"/>
          <w:szCs w:val="32"/>
        </w:rPr>
        <w:t>,</w:t>
      </w:r>
      <w:r>
        <w:rPr>
          <w:rFonts w:hint="eastAsia" w:hAnsi="仿宋_GB2312" w:cs="仿宋_GB2312"/>
          <w:szCs w:val="32"/>
          <w:lang w:val="en-US" w:eastAsia="zh-CN"/>
        </w:rPr>
        <w:t>0</w:t>
      </w:r>
      <w:r>
        <w:rPr>
          <w:rFonts w:hint="eastAsia" w:hAnsi="仿宋_GB2312" w:cs="仿宋_GB2312"/>
          <w:szCs w:val="32"/>
        </w:rPr>
        <w:t>00,000.00</w:t>
      </w:r>
      <w:r>
        <w:rPr>
          <w:rFonts w:hint="eastAsia" w:hAnsi="仿宋_GB2312" w:cs="仿宋_GB2312"/>
          <w:color w:val="auto"/>
          <w:szCs w:val="32"/>
        </w:rPr>
        <w:t>），增价幅度为人民币（大写）壹佰万元整（</w:t>
      </w:r>
      <w:r>
        <w:rPr>
          <w:rFonts w:hint="eastAsia" w:hAnsi="仿宋_GB2312" w:cs="仿宋_GB2312"/>
          <w:color w:val="auto"/>
          <w:szCs w:val="32"/>
          <w:lang w:val="en-US" w:eastAsia="zh-CN"/>
        </w:rPr>
        <w:t>¥</w:t>
      </w:r>
      <w:r>
        <w:rPr>
          <w:rFonts w:hint="eastAsia" w:hAnsi="仿宋_GB2312" w:cs="仿宋_GB2312"/>
          <w:color w:val="auto"/>
          <w:szCs w:val="32"/>
        </w:rPr>
        <w:t>1,000,000.00）或100万元整数倍金额</w:t>
      </w:r>
      <w:r>
        <w:rPr>
          <w:rFonts w:hint="eastAsia" w:hAnsi="仿宋_GB2312" w:cs="仿宋_GB2312"/>
          <w:color w:val="auto"/>
          <w:szCs w:val="32"/>
          <w:lang w:eastAsia="zh-CN"/>
        </w:rPr>
        <w:t>。</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八、拍卖程序</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（一）拍卖会程序</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1．拍卖主持人宣布拍卖会开始。</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2．拍卖主持人、记录员、公证员就位。</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3．拍卖主持人点算竞买人。点到竞买号牌号码时，竞买人须举牌示意。拍卖主持人宣布竞买人到场情况。</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4．拍卖主持人介绍拍卖地块的位置、面积、用途、使用年限、规划指标要求、建设时间等。</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6．拍卖主持人报出起叫价，宣布竞价开始。</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8．拍卖主持人确认该竞买人应价或者报价后继续竞价。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（三）出让人与竞得人依据《成交确认书》约定签订《国有建设用地使用权出让合同》。</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（四）出让结果公布</w:t>
      </w:r>
    </w:p>
    <w:p>
      <w:pPr>
        <w:spacing w:line="520" w:lineRule="exact"/>
        <w:ind w:firstLine="640" w:firstLineChars="200"/>
        <w:rPr>
          <w:rFonts w:hAnsi="仿宋_GB2312" w:cs="仿宋_GB2312"/>
          <w:color w:val="auto"/>
          <w:szCs w:val="32"/>
          <w:u w:val="single"/>
        </w:rPr>
      </w:pPr>
      <w:r>
        <w:rPr>
          <w:rFonts w:hint="eastAsia" w:hAnsi="仿宋_GB2312" w:cs="仿宋_GB2312"/>
          <w:color w:val="auto"/>
          <w:szCs w:val="32"/>
        </w:rPr>
        <w:t>我局将在此次国有建设用地使用权拍卖会结束后10个工作日内，在中国土地市场网（www.landchina.com）、泉州自然资源和规划</w:t>
      </w:r>
      <w:r>
        <w:rPr>
          <w:rFonts w:hint="eastAsia" w:hAnsi="仿宋_GB2312" w:cs="仿宋_GB2312"/>
          <w:color w:val="auto"/>
          <w:kern w:val="10"/>
          <w:szCs w:val="32"/>
        </w:rPr>
        <w:t>信息网（</w:t>
      </w:r>
      <w:r>
        <w:rPr>
          <w:rFonts w:hint="eastAsia" w:hAnsi="仿宋_GB2312" w:cs="仿宋_GB2312"/>
          <w:color w:val="auto"/>
          <w:szCs w:val="32"/>
        </w:rPr>
        <w:t>zyghj.quanzhou.gov.cn</w:t>
      </w:r>
      <w:r>
        <w:rPr>
          <w:rFonts w:hint="eastAsia" w:hAnsi="仿宋_GB2312" w:cs="仿宋_GB2312"/>
          <w:color w:val="auto"/>
          <w:kern w:val="10"/>
          <w:szCs w:val="32"/>
        </w:rPr>
        <w:t>）</w:t>
      </w:r>
      <w:r>
        <w:rPr>
          <w:rFonts w:hint="eastAsia" w:hAnsi="仿宋_GB2312" w:cs="仿宋_GB2312"/>
          <w:color w:val="auto"/>
          <w:szCs w:val="32"/>
        </w:rPr>
        <w:t>公布本次国有建设用地使用权拍卖出让结果。</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九、竞价规则</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（一）不设保留价，按照价高者得的原则确定竞得人。</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（二）竞买人以举牌方式应价，也可以报价，报价的加价幅度不得小于拍卖主持人宣布或调整的增价幅度。</w:t>
      </w:r>
    </w:p>
    <w:p>
      <w:pPr>
        <w:spacing w:line="520" w:lineRule="exact"/>
        <w:ind w:firstLine="640" w:firstLineChars="200"/>
        <w:rPr>
          <w:rFonts w:hAnsi="仿宋_GB2312" w:cs="仿宋_GB2312"/>
          <w:color w:val="auto"/>
          <w:szCs w:val="32"/>
        </w:rPr>
      </w:pPr>
      <w:r>
        <w:rPr>
          <w:rFonts w:hint="eastAsia" w:hAnsi="仿宋_GB2312" w:cs="仿宋_GB2312"/>
          <w:color w:val="auto"/>
          <w:kern w:val="10"/>
          <w:szCs w:val="32"/>
        </w:rPr>
        <w:t>（三）竞买人凭《竞买资格确认书》和法定代表人（自然人、受委托代理人）身份证件领取竞买号牌。</w:t>
      </w:r>
      <w:r>
        <w:rPr>
          <w:rFonts w:hint="eastAsia" w:hAnsi="仿宋_GB2312" w:cs="仿宋_GB2312"/>
          <w:color w:val="auto"/>
          <w:szCs w:val="32"/>
        </w:rPr>
        <w:t>竞买号牌代表竞买人的资格。</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（四）</w:t>
      </w:r>
      <w:r>
        <w:rPr>
          <w:rFonts w:hint="eastAsia" w:hAnsi="仿宋_GB2312" w:cs="仿宋_GB2312"/>
          <w:color w:val="auto"/>
          <w:szCs w:val="32"/>
        </w:rPr>
        <w:t>2026年</w:t>
      </w:r>
      <w:r>
        <w:rPr>
          <w:rFonts w:hint="eastAsia" w:hAnsi="仿宋_GB2312" w:cs="仿宋_GB2312"/>
          <w:color w:val="auto"/>
          <w:szCs w:val="32"/>
          <w:lang w:val="en-US" w:eastAsia="zh-CN"/>
        </w:rPr>
        <w:t>5</w:t>
      </w:r>
      <w:r>
        <w:rPr>
          <w:rFonts w:hint="eastAsia" w:hAnsi="仿宋_GB2312" w:cs="仿宋_GB2312"/>
          <w:color w:val="auto"/>
          <w:szCs w:val="32"/>
        </w:rPr>
        <w:t>月</w:t>
      </w:r>
      <w:r>
        <w:rPr>
          <w:rFonts w:hint="eastAsia" w:hAnsi="仿宋_GB2312" w:cs="仿宋_GB2312"/>
          <w:color w:val="auto"/>
          <w:szCs w:val="32"/>
          <w:lang w:val="en-US" w:eastAsia="zh-CN"/>
        </w:rPr>
        <w:t>21</w:t>
      </w:r>
      <w:r>
        <w:rPr>
          <w:rFonts w:hint="eastAsia" w:hAnsi="仿宋_GB2312" w:cs="仿宋_GB2312"/>
          <w:color w:val="auto"/>
          <w:szCs w:val="32"/>
        </w:rPr>
        <w:t>日9</w:t>
      </w:r>
      <w:r>
        <w:rPr>
          <w:rFonts w:hint="eastAsia" w:hAnsi="仿宋_GB2312" w:cs="仿宋_GB2312"/>
          <w:color w:val="auto"/>
          <w:kern w:val="10"/>
          <w:szCs w:val="32"/>
        </w:rPr>
        <w:t>:00前，竞买人须领取竞买号牌并进入竞买现场，否则视为放弃竞买资格。</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十、缴款时间、交地时间和交地条件</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（一）缴款时间</w:t>
      </w:r>
    </w:p>
    <w:p>
      <w:pPr>
        <w:spacing w:line="520" w:lineRule="exact"/>
        <w:ind w:firstLine="640" w:firstLineChars="200"/>
        <w:rPr>
          <w:rFonts w:hint="eastAsia" w:hAnsi="仿宋_GB2312" w:cs="仿宋_GB2312"/>
          <w:color w:val="auto"/>
          <w:kern w:val="10"/>
          <w:szCs w:val="32"/>
        </w:rPr>
      </w:pPr>
      <w:r>
        <w:rPr>
          <w:rFonts w:hint="eastAsia" w:hAnsi="仿宋_GB2312" w:cs="仿宋_GB2312"/>
          <w:color w:val="auto"/>
          <w:kern w:val="10"/>
          <w:szCs w:val="32"/>
        </w:rPr>
        <w:t>上述地块竞得人自竞得之日起30日内应缴交成交价总额50%的成交价款（竞买保证金转作受让地块的定金，抵作土地出让价款）</w:t>
      </w:r>
      <w:r>
        <w:rPr>
          <w:rFonts w:hint="eastAsia" w:hAnsi="仿宋_GB2312" w:cs="仿宋_GB2312"/>
          <w:color w:val="auto"/>
          <w:kern w:val="10"/>
          <w:szCs w:val="32"/>
          <w:lang w:eastAsia="zh-CN"/>
        </w:rPr>
        <w:t>，其中丰</w:t>
      </w:r>
      <w:r>
        <w:rPr>
          <w:rFonts w:hint="eastAsia" w:hAnsi="仿宋_GB2312" w:cs="仿宋_GB2312"/>
          <w:color w:val="auto"/>
          <w:kern w:val="10"/>
          <w:szCs w:val="32"/>
          <w:lang w:val="en-US" w:eastAsia="zh-CN"/>
        </w:rPr>
        <w:t>2026-5号、丰2024-27-2号、鲤2024-12号地块</w:t>
      </w:r>
      <w:r>
        <w:rPr>
          <w:rFonts w:hint="eastAsia" w:hAnsi="仿宋_GB2312" w:cs="仿宋_GB2312"/>
          <w:color w:val="auto"/>
          <w:kern w:val="10"/>
          <w:szCs w:val="32"/>
        </w:rPr>
        <w:t>余款自竞得之日起</w:t>
      </w:r>
      <w:r>
        <w:rPr>
          <w:rFonts w:hint="eastAsia" w:hAnsi="仿宋_GB2312" w:cs="仿宋_GB2312"/>
          <w:color w:val="auto"/>
          <w:kern w:val="10"/>
          <w:szCs w:val="32"/>
          <w:lang w:val="en-US" w:eastAsia="zh-CN"/>
        </w:rPr>
        <w:t>6</w:t>
      </w:r>
      <w:r>
        <w:rPr>
          <w:rFonts w:hint="eastAsia" w:hAnsi="仿宋_GB2312" w:cs="仿宋_GB2312"/>
          <w:color w:val="auto"/>
          <w:kern w:val="10"/>
          <w:szCs w:val="32"/>
        </w:rPr>
        <w:t>个月内</w:t>
      </w:r>
      <w:r>
        <w:rPr>
          <w:rFonts w:hint="eastAsia" w:hAnsi="仿宋_GB2312" w:cs="仿宋_GB2312"/>
          <w:color w:val="auto"/>
          <w:kern w:val="10"/>
          <w:szCs w:val="32"/>
          <w:lang w:eastAsia="zh-CN"/>
        </w:rPr>
        <w:t>交</w:t>
      </w:r>
      <w:r>
        <w:rPr>
          <w:rFonts w:hint="eastAsia" w:hAnsi="仿宋_GB2312" w:cs="仿宋_GB2312"/>
          <w:color w:val="auto"/>
          <w:kern w:val="10"/>
          <w:szCs w:val="32"/>
        </w:rPr>
        <w:t>清</w:t>
      </w:r>
      <w:r>
        <w:rPr>
          <w:rFonts w:hint="eastAsia" w:hAnsi="仿宋_GB2312" w:cs="仿宋_GB2312"/>
          <w:color w:val="auto"/>
          <w:kern w:val="10"/>
          <w:szCs w:val="32"/>
          <w:lang w:val="en-US" w:eastAsia="zh-CN"/>
        </w:rPr>
        <w:t>，</w:t>
      </w:r>
      <w:r>
        <w:rPr>
          <w:rFonts w:hint="eastAsia" w:hAnsi="仿宋_GB2312" w:cs="仿宋_GB2312"/>
          <w:color w:val="auto"/>
          <w:kern w:val="10"/>
          <w:szCs w:val="32"/>
          <w:lang w:eastAsia="zh-CN"/>
        </w:rPr>
        <w:t>其余</w:t>
      </w:r>
      <w:r>
        <w:rPr>
          <w:rFonts w:hint="eastAsia" w:hAnsi="仿宋_GB2312" w:cs="仿宋_GB2312"/>
          <w:color w:val="auto"/>
          <w:kern w:val="10"/>
          <w:szCs w:val="32"/>
        </w:rPr>
        <w:t>地块余款自竞得之日起3个月内</w:t>
      </w:r>
      <w:r>
        <w:rPr>
          <w:rFonts w:hint="eastAsia" w:hAnsi="仿宋_GB2312" w:cs="仿宋_GB2312"/>
          <w:color w:val="auto"/>
          <w:kern w:val="10"/>
          <w:szCs w:val="32"/>
          <w:lang w:eastAsia="zh-CN"/>
        </w:rPr>
        <w:t>交</w:t>
      </w:r>
      <w:r>
        <w:rPr>
          <w:rFonts w:hint="eastAsia" w:hAnsi="仿宋_GB2312" w:cs="仿宋_GB2312"/>
          <w:color w:val="auto"/>
          <w:kern w:val="10"/>
          <w:szCs w:val="32"/>
        </w:rPr>
        <w:t>清。</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（二）交地时间和交地条件</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十一、开工、竣工时间</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上述地块竞得人应在签订《国有建设用地使用权出让合同》之日起1年内开工，并在开工后3年内竣工。</w:t>
      </w:r>
    </w:p>
    <w:p>
      <w:pPr>
        <w:spacing w:line="600" w:lineRule="exact"/>
        <w:ind w:firstLine="640" w:firstLineChars="200"/>
        <w:rPr>
          <w:rFonts w:ascii="Times New Roman"/>
          <w:color w:val="auto"/>
          <w:szCs w:val="32"/>
        </w:rPr>
      </w:pPr>
      <w:r>
        <w:rPr>
          <w:color w:val="auto"/>
          <w:szCs w:val="32"/>
        </w:rPr>
        <w:t>竞得人</w:t>
      </w:r>
      <w:r>
        <w:rPr>
          <w:rFonts w:ascii="Times New Roman"/>
          <w:color w:val="auto"/>
          <w:szCs w:val="32"/>
        </w:rPr>
        <w:t>未能按照合同约定日期或同意延建所另行约定日期开工建设但不超过一年的，每延期一日，应向出让人支付相当于国有建设用地使用权出让价款总额</w:t>
      </w:r>
      <w:bookmarkStart w:id="0" w:name="KG_YQ_WYJ_BL"/>
      <w:r>
        <w:rPr>
          <w:rFonts w:hint="eastAsia" w:ascii="Times New Roman"/>
          <w:color w:val="auto"/>
          <w:szCs w:val="32"/>
        </w:rPr>
        <w:t xml:space="preserve">1 </w:t>
      </w:r>
      <w:bookmarkEnd w:id="0"/>
      <w:r>
        <w:rPr>
          <w:rFonts w:ascii="Times New Roman"/>
          <w:color w:val="auto"/>
          <w:szCs w:val="32"/>
        </w:rPr>
        <w:t>‰的违约金，出让人有权要求</w:t>
      </w:r>
      <w:r>
        <w:rPr>
          <w:color w:val="auto"/>
          <w:szCs w:val="32"/>
        </w:rPr>
        <w:t>竞得人</w:t>
      </w:r>
      <w:r>
        <w:rPr>
          <w:rFonts w:ascii="Times New Roman"/>
          <w:color w:val="auto"/>
          <w:szCs w:val="32"/>
        </w:rPr>
        <w:t>继续履约。</w:t>
      </w:r>
    </w:p>
    <w:p>
      <w:pPr>
        <w:spacing w:line="579" w:lineRule="exact"/>
        <w:ind w:firstLine="636" w:firstLineChars="199"/>
        <w:rPr>
          <w:color w:val="auto"/>
          <w:szCs w:val="32"/>
        </w:rPr>
      </w:pPr>
      <w:r>
        <w:rPr>
          <w:color w:val="auto"/>
          <w:szCs w:val="32"/>
        </w:rPr>
        <w:t>竞得人</w:t>
      </w:r>
      <w:r>
        <w:rPr>
          <w:rFonts w:ascii="Times New Roman"/>
          <w:color w:val="auto"/>
          <w:szCs w:val="32"/>
        </w:rPr>
        <w:t>未能按照合同约定日期或同意延建所另行约定日期竣工的，每延期一日，应向出让人支付相当于未竣工计容建筑面积对应国有建设用地使用权出让价款</w:t>
      </w:r>
      <w:bookmarkStart w:id="1" w:name="JG_YQ_WYJ_BL"/>
      <w:r>
        <w:rPr>
          <w:rFonts w:hint="eastAsia" w:ascii="Times New Roman"/>
          <w:color w:val="auto"/>
          <w:szCs w:val="32"/>
        </w:rPr>
        <w:t xml:space="preserve">1 </w:t>
      </w:r>
      <w:bookmarkEnd w:id="1"/>
      <w:r>
        <w:rPr>
          <w:rFonts w:ascii="Times New Roman"/>
          <w:color w:val="auto"/>
          <w:szCs w:val="32"/>
        </w:rPr>
        <w:t>‰的违约金。</w:t>
      </w:r>
    </w:p>
    <w:p>
      <w:pPr>
        <w:spacing w:line="520" w:lineRule="exact"/>
        <w:ind w:firstLine="640" w:firstLineChars="200"/>
        <w:rPr>
          <w:szCs w:val="32"/>
        </w:rPr>
      </w:pPr>
      <w:r>
        <w:rPr>
          <w:szCs w:val="32"/>
        </w:rPr>
        <w:t>竞得人应</w:t>
      </w:r>
      <w:r>
        <w:rPr>
          <w:rFonts w:hint="eastAsia"/>
          <w:szCs w:val="32"/>
        </w:rPr>
        <w:t>在开工建设、竣工验收后及时向我局进行开工、竣工申报。</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竞得人造成土地闲置，按《闲置土地处置办法》有关规定执行。</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十二、注意事项</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2" w:name="_Hlk85133807"/>
      <w:r>
        <w:rPr>
          <w:rFonts w:hint="eastAsia" w:hAnsi="仿宋_GB2312" w:cs="仿宋_GB2312"/>
          <w:color w:val="auto"/>
          <w:szCs w:val="32"/>
        </w:rPr>
        <w:t>竞买人</w:t>
      </w:r>
      <w:bookmarkEnd w:id="2"/>
      <w:r>
        <w:rPr>
          <w:rFonts w:hint="eastAsia" w:hAnsi="仿宋_GB2312" w:cs="仿宋_GB2312"/>
          <w:color w:val="auto"/>
          <w:szCs w:val="32"/>
        </w:rPr>
        <w:t>对拍卖文件及地块现状无异议并全部接受，并对有关承诺承担法律责任。</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（三）竞买人一经应价或报价，不可撤回。</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（六）有下列情形之一的，出让人或组织方应当在拍卖会前终止拍卖活动，并通知竞买人：</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1．竞买人串通损害国家利益、社会利益或他人合法权益的；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2．拍卖工作人员私下接触竞买人，足以影响拍卖公正性的；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3．应当依法终止拍卖活动的其他情形。</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（七）竞得人有下列行为之一的，视为违约，出让人或组织方可取消其竞得人资格，竞买保证金不予退还：</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1．竞得人逾期或拒绝签订《成交确认书》的；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w:t>
      </w:r>
      <w:bookmarkStart w:id="3" w:name="OLE_LINK2"/>
      <w:r>
        <w:rPr>
          <w:rFonts w:hint="eastAsia" w:hAnsi="仿宋_GB2312" w:cs="仿宋_GB2312"/>
          <w:color w:val="auto"/>
          <w:szCs w:val="32"/>
        </w:rPr>
        <w:t>．</w:t>
      </w:r>
      <w:bookmarkEnd w:id="3"/>
      <w:r>
        <w:rPr>
          <w:rFonts w:hint="eastAsia" w:hAnsi="仿宋_GB2312" w:cs="仿宋_GB2312"/>
          <w:color w:val="auto"/>
          <w:szCs w:val="32"/>
        </w:rPr>
        <w:t>竞得人逾期或拒绝签订《国有建设用地使用权出让合同》的。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3．竞得人开出的银行支票或汇票在有效期内不能兑现或不能全部兑现。</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hAnsi="仿宋_GB2312" w:cs="仿宋_GB2312"/>
          <w:color w:val="auto"/>
          <w:szCs w:val="32"/>
        </w:rPr>
      </w:pPr>
      <w:r>
        <w:rPr>
          <w:rFonts w:hint="eastAsia" w:hAnsi="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hAnsi="仿宋_GB2312" w:cs="仿宋_GB2312"/>
          <w:color w:val="auto"/>
          <w:szCs w:val="32"/>
        </w:rPr>
      </w:pPr>
      <w:r>
        <w:rPr>
          <w:rFonts w:hint="eastAsia" w:hAnsi="仿宋_GB2312" w:cs="仿宋_GB2312"/>
          <w:color w:val="auto"/>
          <w:szCs w:val="32"/>
        </w:rPr>
        <w:t>注：按上述费率分级累进计收，每宗收费金额不足100元的按100元收取。</w:t>
      </w:r>
    </w:p>
    <w:p>
      <w:pPr>
        <w:spacing w:line="520" w:lineRule="exact"/>
        <w:rPr>
          <w:rFonts w:hAnsi="仿宋_GB2312" w:cs="仿宋_GB2312"/>
          <w:color w:val="auto"/>
          <w:szCs w:val="32"/>
        </w:rPr>
      </w:pPr>
      <w:r>
        <w:rPr>
          <w:rFonts w:hint="eastAsia" w:hAnsi="仿宋_GB2312" w:cs="仿宋_GB2312"/>
          <w:color w:val="auto"/>
          <w:szCs w:val="32"/>
        </w:rPr>
        <w:t xml:space="preserve">    竞得人须在成交之日起3个工作日内将交易服务费汇到泉州市产权交易中心有限公司指定账号内。</w:t>
      </w:r>
      <w:r>
        <w:rPr>
          <w:rFonts w:hint="eastAsia" w:hAnsi="仿宋_GB2312" w:cs="仿宋_GB2312"/>
          <w:bCs/>
          <w:color w:val="auto"/>
          <w:szCs w:val="32"/>
        </w:rPr>
        <w:t>交易服务费账户户名</w:t>
      </w:r>
      <w:r>
        <w:rPr>
          <w:rFonts w:hint="eastAsia" w:hAnsi="仿宋_GB2312" w:cs="仿宋_GB2312"/>
          <w:color w:val="auto"/>
          <w:szCs w:val="32"/>
        </w:rPr>
        <w:t>：泉州市产权交易中心有限公司，兴业银行泉州丰泽支行152690100100090830。</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（十）竞得人付清全部拍卖成交价款后，依法申请办理土地登记，领取《不动产权证》，取得土地使用权。</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（十二）拍卖不成交的，按规定由我局重新组织出让。</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（十三）参加拍卖活动的人员，应遵守现场的纪律，服从管理人员的管理。</w:t>
      </w:r>
    </w:p>
    <w:p>
      <w:pPr>
        <w:spacing w:line="520" w:lineRule="exact"/>
        <w:ind w:firstLine="640" w:firstLineChars="200"/>
        <w:rPr>
          <w:rFonts w:hAnsi="仿宋_GB2312" w:cs="仿宋_GB2312"/>
          <w:color w:val="auto"/>
          <w:szCs w:val="32"/>
          <w:u w:val="single"/>
        </w:rPr>
      </w:pPr>
      <w:r>
        <w:rPr>
          <w:rFonts w:hint="eastAsia" w:hAnsi="仿宋_GB2312" w:cs="仿宋_GB2312"/>
          <w:color w:val="auto"/>
          <w:szCs w:val="32"/>
        </w:rPr>
        <w:t>（十四）</w:t>
      </w:r>
      <w:r>
        <w:rPr>
          <w:rFonts w:hint="eastAsia" w:hAnsi="仿宋_GB2312" w:cs="仿宋_GB2312"/>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hAnsi="仿宋_GB2312" w:cs="仿宋_GB2312"/>
          <w:color w:val="auto"/>
          <w:szCs w:val="32"/>
        </w:rPr>
      </w:pPr>
    </w:p>
    <w:p>
      <w:pPr>
        <w:pStyle w:val="13"/>
        <w:ind w:firstLine="640"/>
        <w:rPr>
          <w:rFonts w:hAnsi="仿宋_GB2312" w:cs="仿宋_GB2312"/>
        </w:rPr>
      </w:pPr>
    </w:p>
    <w:p>
      <w:pPr>
        <w:spacing w:line="520" w:lineRule="exact"/>
        <w:ind w:right="1440" w:rightChars="450"/>
        <w:jc w:val="right"/>
        <w:rPr>
          <w:rFonts w:hAnsi="仿宋_GB2312" w:cs="仿宋_GB2312"/>
          <w:color w:val="auto"/>
          <w:szCs w:val="32"/>
        </w:rPr>
      </w:pPr>
      <w:r>
        <w:rPr>
          <w:rFonts w:hint="eastAsia" w:hAnsi="仿宋_GB2312" w:cs="仿宋_GB2312"/>
          <w:color w:val="auto"/>
          <w:szCs w:val="32"/>
        </w:rPr>
        <w:t>泉州市自然资源和规划局</w:t>
      </w:r>
    </w:p>
    <w:p>
      <w:pPr>
        <w:spacing w:line="520" w:lineRule="exact"/>
        <w:ind w:right="1920" w:rightChars="600"/>
        <w:jc w:val="right"/>
        <w:rPr>
          <w:rFonts w:hAnsi="仿宋_GB2312" w:cs="仿宋_GB2312"/>
          <w:color w:val="auto"/>
          <w:szCs w:val="32"/>
        </w:rPr>
      </w:pPr>
      <w:r>
        <w:rPr>
          <w:rFonts w:hint="eastAsia" w:hAnsi="仿宋_GB2312" w:cs="仿宋_GB2312"/>
          <w:color w:val="auto"/>
          <w:szCs w:val="32"/>
        </w:rPr>
        <w:t>2026年</w:t>
      </w:r>
      <w:bookmarkStart w:id="4" w:name="_GoBack"/>
      <w:r>
        <w:rPr>
          <w:rFonts w:hint="eastAsia" w:hAnsi="仿宋_GB2312" w:cs="仿宋_GB2312"/>
          <w:color w:val="auto"/>
          <w:szCs w:val="32"/>
          <w:lang w:val="en-US" w:eastAsia="zh-CN"/>
        </w:rPr>
        <w:t>5</w:t>
      </w:r>
      <w:r>
        <w:rPr>
          <w:rFonts w:hint="eastAsia" w:hAnsi="仿宋_GB2312" w:cs="仿宋_GB2312"/>
          <w:color w:val="auto"/>
          <w:szCs w:val="32"/>
        </w:rPr>
        <w:t>月</w:t>
      </w:r>
      <w:bookmarkEnd w:id="4"/>
      <w:r>
        <w:rPr>
          <w:rFonts w:hint="eastAsia" w:hAnsi="仿宋_GB2312" w:cs="仿宋_GB2312"/>
          <w:color w:val="auto"/>
          <w:szCs w:val="32"/>
          <w:lang w:val="en-US" w:eastAsia="zh-CN"/>
        </w:rPr>
        <w:t>1</w:t>
      </w:r>
      <w:r>
        <w:rPr>
          <w:rFonts w:hint="eastAsia" w:hAnsi="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AFAFB"/>
    <w:multiLevelType w:val="singleLevel"/>
    <w:tmpl w:val="8DFAFAFB"/>
    <w:lvl w:ilvl="0" w:tentative="0">
      <w:start w:val="1"/>
      <w:numFmt w:val="decimal"/>
      <w:pStyle w:val="3"/>
      <w:lvlText w:val="%1."/>
      <w:lvlJc w:val="left"/>
      <w:pPr>
        <w:tabs>
          <w:tab w:val="left" w:pos="2040"/>
        </w:tabs>
        <w:ind w:left="2040" w:hanging="360"/>
      </w:pPr>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76ED2"/>
    <w:rsid w:val="0028045A"/>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BE6AA7"/>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47EB"/>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22B6D58"/>
    <w:rsid w:val="03D0075A"/>
    <w:rsid w:val="060058D9"/>
    <w:rsid w:val="076B4F50"/>
    <w:rsid w:val="0A050A0A"/>
    <w:rsid w:val="0B3B3F82"/>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BFECCFD"/>
    <w:rsid w:val="3D15067F"/>
    <w:rsid w:val="3DB14890"/>
    <w:rsid w:val="3E8C3A26"/>
    <w:rsid w:val="3F5FF36E"/>
    <w:rsid w:val="3F73645C"/>
    <w:rsid w:val="3FB73CFF"/>
    <w:rsid w:val="3FFF14EC"/>
    <w:rsid w:val="412A0477"/>
    <w:rsid w:val="42041D48"/>
    <w:rsid w:val="45D07A7B"/>
    <w:rsid w:val="45FB48A4"/>
    <w:rsid w:val="48DB5365"/>
    <w:rsid w:val="48E2729B"/>
    <w:rsid w:val="4BDF7549"/>
    <w:rsid w:val="4DF37842"/>
    <w:rsid w:val="4F46621E"/>
    <w:rsid w:val="4FEDCE04"/>
    <w:rsid w:val="520F40B5"/>
    <w:rsid w:val="53417DE8"/>
    <w:rsid w:val="545D6861"/>
    <w:rsid w:val="551E49A7"/>
    <w:rsid w:val="565C1810"/>
    <w:rsid w:val="58805E0B"/>
    <w:rsid w:val="59FFFD36"/>
    <w:rsid w:val="5A100A69"/>
    <w:rsid w:val="5AC66E6D"/>
    <w:rsid w:val="5BEE9F57"/>
    <w:rsid w:val="5C2F2B85"/>
    <w:rsid w:val="5C99BAAC"/>
    <w:rsid w:val="5CCEE906"/>
    <w:rsid w:val="5D711BC1"/>
    <w:rsid w:val="5D7FED0E"/>
    <w:rsid w:val="5DC00719"/>
    <w:rsid w:val="5E6370DC"/>
    <w:rsid w:val="5E7210B7"/>
    <w:rsid w:val="5EBE1F44"/>
    <w:rsid w:val="5EF61BEE"/>
    <w:rsid w:val="5F75A2CF"/>
    <w:rsid w:val="5FFCDEF8"/>
    <w:rsid w:val="5FFE5D64"/>
    <w:rsid w:val="61E31F82"/>
    <w:rsid w:val="623173B1"/>
    <w:rsid w:val="627AADA0"/>
    <w:rsid w:val="64B6114A"/>
    <w:rsid w:val="654D6D68"/>
    <w:rsid w:val="67835892"/>
    <w:rsid w:val="67DF86CE"/>
    <w:rsid w:val="69287FF9"/>
    <w:rsid w:val="69BA7FBC"/>
    <w:rsid w:val="69EF4473"/>
    <w:rsid w:val="69F5315F"/>
    <w:rsid w:val="6C3D038A"/>
    <w:rsid w:val="6C5E3ED7"/>
    <w:rsid w:val="6CDE621F"/>
    <w:rsid w:val="6D601559"/>
    <w:rsid w:val="6DC95D5B"/>
    <w:rsid w:val="6DFA66F6"/>
    <w:rsid w:val="6F4A2587"/>
    <w:rsid w:val="6F565F34"/>
    <w:rsid w:val="6F7FBAEF"/>
    <w:rsid w:val="6F817756"/>
    <w:rsid w:val="6FBBBABD"/>
    <w:rsid w:val="6FEE53D9"/>
    <w:rsid w:val="706C57A0"/>
    <w:rsid w:val="70856287"/>
    <w:rsid w:val="71BFAB18"/>
    <w:rsid w:val="71CC5BD1"/>
    <w:rsid w:val="72687BA6"/>
    <w:rsid w:val="735B762D"/>
    <w:rsid w:val="73E38C26"/>
    <w:rsid w:val="73FF5AE4"/>
    <w:rsid w:val="75BE6923"/>
    <w:rsid w:val="75DE796D"/>
    <w:rsid w:val="761B3A3C"/>
    <w:rsid w:val="767F1B71"/>
    <w:rsid w:val="772C6592"/>
    <w:rsid w:val="7BFD8D70"/>
    <w:rsid w:val="7C614DBC"/>
    <w:rsid w:val="7CED3003"/>
    <w:rsid w:val="7CFE5411"/>
    <w:rsid w:val="7DC16531"/>
    <w:rsid w:val="7DFD2408"/>
    <w:rsid w:val="7F493424"/>
    <w:rsid w:val="7FAFA16A"/>
    <w:rsid w:val="7FFD0E07"/>
    <w:rsid w:val="AFFF219C"/>
    <w:rsid w:val="B6F5B665"/>
    <w:rsid w:val="B7DB20F6"/>
    <w:rsid w:val="BCBFEF2C"/>
    <w:rsid w:val="BD3B2D74"/>
    <w:rsid w:val="BEE466A8"/>
    <w:rsid w:val="BFEB0541"/>
    <w:rsid w:val="BFF9E321"/>
    <w:rsid w:val="C77BCFBB"/>
    <w:rsid w:val="CDDBF24C"/>
    <w:rsid w:val="CFDF5366"/>
    <w:rsid w:val="D7BBABC2"/>
    <w:rsid w:val="D7F3D790"/>
    <w:rsid w:val="DD7C8DA1"/>
    <w:rsid w:val="DF7D7243"/>
    <w:rsid w:val="E73B06B3"/>
    <w:rsid w:val="EABF04C7"/>
    <w:rsid w:val="EF9DD4E3"/>
    <w:rsid w:val="F33752BE"/>
    <w:rsid w:val="F5BCEA24"/>
    <w:rsid w:val="F74BB496"/>
    <w:rsid w:val="F9D441FD"/>
    <w:rsid w:val="FBBFE06A"/>
    <w:rsid w:val="FD9FE1A1"/>
    <w:rsid w:val="FEBDF87F"/>
    <w:rsid w:val="FED7EB8E"/>
    <w:rsid w:val="FFF68587"/>
    <w:rsid w:val="FFF71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hAnsi="Courier New"/>
    </w:rPr>
  </w:style>
  <w:style w:type="paragraph" w:styleId="3">
    <w:name w:val="List Number 5"/>
    <w:basedOn w:val="1"/>
    <w:semiHidden/>
    <w:unhideWhenUsed/>
    <w:qFormat/>
    <w:uiPriority w:val="0"/>
    <w:pPr>
      <w:numPr>
        <w:ilvl w:val="0"/>
        <w:numId w:val="1"/>
      </w:numPr>
    </w:pPr>
  </w:style>
  <w:style w:type="paragraph" w:styleId="5">
    <w:name w:val="Body Text"/>
    <w:basedOn w:val="1"/>
    <w:qFormat/>
    <w:uiPriority w:val="0"/>
    <w:pPr>
      <w:spacing w:line="500" w:lineRule="exact"/>
    </w:pPr>
    <w:rPr>
      <w:sz w:val="30"/>
    </w:rPr>
  </w:style>
  <w:style w:type="paragraph" w:styleId="6">
    <w:name w:val="Body Text Indent"/>
    <w:basedOn w:val="1"/>
    <w:next w:val="7"/>
    <w:qFormat/>
    <w:uiPriority w:val="0"/>
    <w:pPr>
      <w:ind w:firstLine="640" w:firstLine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0"/>
    <w:pPr>
      <w:spacing w:beforeAutospacing="1" w:afterAutospacing="1"/>
      <w:jc w:val="left"/>
    </w:pPr>
    <w:rPr>
      <w:sz w:val="24"/>
    </w:rPr>
  </w:style>
  <w:style w:type="paragraph" w:styleId="13">
    <w:name w:val="Body Text First Indent 2"/>
    <w:basedOn w:val="6"/>
    <w:qFormat/>
    <w:uiPriority w:val="99"/>
    <w:pPr>
      <w:ind w:firstLine="42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dfdf</Company>
  <Pages>16</Pages>
  <Words>1147</Words>
  <Characters>6541</Characters>
  <Lines>54</Lines>
  <Paragraphs>15</Paragraphs>
  <TotalTime>1</TotalTime>
  <ScaleCrop>false</ScaleCrop>
  <LinksUpToDate>false</LinksUpToDate>
  <CharactersWithSpaces>7673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2019-12-22T23:04:00Z</dcterms:created>
  <dc:creator>未羽</dc:creator>
  <cp:lastModifiedBy>市资源规划局</cp:lastModifiedBy>
  <cp:lastPrinted>2021-12-12T07:02:00Z</cp:lastPrinted>
  <dcterms:modified xsi:type="dcterms:W3CDTF">2026-04-30T11:21:44Z</dcterms:modified>
  <dc:title>国有建设用地使用权拍卖出让须知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